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B77" w:rsidRPr="00215B69" w:rsidRDefault="000B1B77" w:rsidP="000B1B77">
      <w:pPr>
        <w:jc w:val="center"/>
        <w:rPr>
          <w:rFonts w:cs="Arial"/>
          <w:b/>
          <w:bCs/>
          <w:sz w:val="22"/>
          <w:szCs w:val="22"/>
        </w:rPr>
      </w:pPr>
      <w:r w:rsidRPr="00215B69">
        <w:rPr>
          <w:rFonts w:cs="Arial"/>
          <w:b/>
          <w:bCs/>
          <w:sz w:val="22"/>
          <w:szCs w:val="22"/>
        </w:rPr>
        <w:t>RESOLUCIÓN NÚMERO ___________ de Fecha ____________</w:t>
      </w:r>
    </w:p>
    <w:p w:rsidR="000B1B77" w:rsidRPr="00215B69" w:rsidRDefault="000B1B77" w:rsidP="000B1B77">
      <w:pPr>
        <w:jc w:val="center"/>
        <w:rPr>
          <w:rFonts w:cs="Arial"/>
          <w:sz w:val="22"/>
          <w:szCs w:val="22"/>
        </w:rPr>
      </w:pPr>
    </w:p>
    <w:p w:rsidR="000B1B77" w:rsidRPr="00215B69" w:rsidRDefault="000B1B77" w:rsidP="000B1B77">
      <w:pPr>
        <w:jc w:val="center"/>
        <w:rPr>
          <w:rFonts w:cs="Arial"/>
          <w:color w:val="FF0000"/>
          <w:sz w:val="22"/>
          <w:szCs w:val="22"/>
        </w:rPr>
      </w:pPr>
      <w:bookmarkStart w:id="0" w:name="_Hlk189738040"/>
    </w:p>
    <w:bookmarkEnd w:id="0"/>
    <w:p w:rsidR="000B1B77" w:rsidRPr="00215B69" w:rsidRDefault="000B1B77" w:rsidP="000B1B77">
      <w:pPr>
        <w:jc w:val="center"/>
        <w:rPr>
          <w:rFonts w:cs="Arial"/>
          <w:sz w:val="22"/>
          <w:szCs w:val="22"/>
        </w:rPr>
      </w:pPr>
      <w:r w:rsidRPr="00215B69">
        <w:rPr>
          <w:rFonts w:cs="Arial"/>
          <w:sz w:val="22"/>
          <w:szCs w:val="22"/>
        </w:rPr>
        <w:t xml:space="preserve">Por la cual se Revoca la Resolución No. </w:t>
      </w:r>
      <w:r w:rsidR="005A1136" w:rsidRPr="00215B69">
        <w:rPr>
          <w:rFonts w:cs="Arial"/>
          <w:sz w:val="22"/>
          <w:szCs w:val="22"/>
        </w:rPr>
        <w:t>8570 del 15 de diciembre de 2021</w:t>
      </w:r>
      <w:r w:rsidRPr="00215B69">
        <w:rPr>
          <w:rFonts w:cs="Arial"/>
          <w:sz w:val="22"/>
          <w:szCs w:val="22"/>
        </w:rPr>
        <w:t xml:space="preserve"> proferida por la Subdirección de Vigilancia en Salud Pública, dentro de la Investigación Administrativa No. </w:t>
      </w:r>
      <w:r w:rsidR="005A1136" w:rsidRPr="00215B69">
        <w:rPr>
          <w:rFonts w:cs="Arial"/>
          <w:sz w:val="22"/>
          <w:szCs w:val="22"/>
        </w:rPr>
        <w:t>10709-2018</w:t>
      </w:r>
      <w:r w:rsidRPr="00215B69">
        <w:rPr>
          <w:rFonts w:cs="Arial"/>
          <w:sz w:val="22"/>
          <w:szCs w:val="22"/>
        </w:rPr>
        <w:t>.</w:t>
      </w:r>
    </w:p>
    <w:p w:rsidR="000B1B77" w:rsidRPr="00215B69" w:rsidRDefault="000B1B77" w:rsidP="000B1B77">
      <w:pPr>
        <w:jc w:val="center"/>
        <w:rPr>
          <w:rFonts w:cs="Arial"/>
          <w:sz w:val="22"/>
          <w:szCs w:val="22"/>
        </w:rPr>
      </w:pPr>
    </w:p>
    <w:p w:rsidR="000B1B77" w:rsidRPr="00215B69" w:rsidRDefault="000B1B77" w:rsidP="000B1B77">
      <w:pPr>
        <w:jc w:val="center"/>
        <w:rPr>
          <w:rFonts w:cs="Arial"/>
          <w:b/>
          <w:bCs/>
          <w:sz w:val="22"/>
          <w:szCs w:val="22"/>
        </w:rPr>
      </w:pPr>
      <w:r w:rsidRPr="00215B69">
        <w:rPr>
          <w:rFonts w:cs="Arial"/>
          <w:b/>
          <w:bCs/>
          <w:sz w:val="22"/>
          <w:szCs w:val="22"/>
        </w:rPr>
        <w:t>EL SECRETARIO DISTRITAL DE SALUD</w:t>
      </w:r>
    </w:p>
    <w:p w:rsidR="000B1B77" w:rsidRPr="00215B69" w:rsidRDefault="000B1B77" w:rsidP="000B1B77">
      <w:pPr>
        <w:jc w:val="center"/>
        <w:rPr>
          <w:rFonts w:cs="Arial"/>
          <w:b/>
          <w:sz w:val="22"/>
          <w:szCs w:val="22"/>
        </w:rPr>
      </w:pPr>
    </w:p>
    <w:p w:rsidR="000B1B77" w:rsidRPr="00215B69" w:rsidRDefault="000B1B77" w:rsidP="000B1B77">
      <w:pPr>
        <w:jc w:val="both"/>
        <w:rPr>
          <w:rFonts w:cs="Arial"/>
          <w:b/>
          <w:sz w:val="16"/>
          <w:szCs w:val="28"/>
        </w:rPr>
      </w:pPr>
    </w:p>
    <w:p w:rsidR="000B1B77" w:rsidRPr="00215B69" w:rsidRDefault="000B1B77" w:rsidP="000B1B77">
      <w:pPr>
        <w:jc w:val="both"/>
        <w:rPr>
          <w:rFonts w:cs="Arial"/>
          <w:sz w:val="22"/>
          <w:szCs w:val="22"/>
        </w:rPr>
      </w:pPr>
      <w:r w:rsidRPr="00215B69">
        <w:rPr>
          <w:rFonts w:cs="Arial"/>
          <w:sz w:val="22"/>
          <w:szCs w:val="22"/>
        </w:rPr>
        <w:t xml:space="preserve">En ejercicio de las facultades legales y reglamentarias y, en especial, las conferidas en el numeral 7 del artículo 3 del Decreto 507 del 06 de noviembre de 2013, y en concordancia con el artículo 93 del Código de Procedimiento Administrativo y de lo Contencioso Administrativo, y </w:t>
      </w:r>
      <w:r w:rsidR="006D415B" w:rsidRPr="00215B69">
        <w:rPr>
          <w:rFonts w:cs="Arial"/>
          <w:sz w:val="22"/>
          <w:szCs w:val="22"/>
        </w:rPr>
        <w:t xml:space="preserve"> </w:t>
      </w:r>
    </w:p>
    <w:p w:rsidR="000B1B77" w:rsidRPr="00215B69" w:rsidRDefault="000B1B77" w:rsidP="000B1B77">
      <w:pPr>
        <w:widowControl w:val="0"/>
        <w:rPr>
          <w:rFonts w:cs="Arial"/>
          <w:sz w:val="22"/>
          <w:szCs w:val="22"/>
        </w:rPr>
      </w:pPr>
    </w:p>
    <w:p w:rsidR="000B1B77" w:rsidRPr="00215B69" w:rsidRDefault="000B1B77" w:rsidP="000B1B77">
      <w:pPr>
        <w:widowControl w:val="0"/>
        <w:jc w:val="center"/>
        <w:rPr>
          <w:rFonts w:cs="Arial"/>
          <w:b/>
          <w:bCs/>
          <w:sz w:val="22"/>
          <w:szCs w:val="22"/>
        </w:rPr>
      </w:pPr>
      <w:r w:rsidRPr="00215B69">
        <w:rPr>
          <w:rFonts w:cs="Arial"/>
          <w:b/>
          <w:bCs/>
          <w:sz w:val="22"/>
          <w:szCs w:val="22"/>
        </w:rPr>
        <w:t xml:space="preserve">CONSIDERANDO:  </w:t>
      </w:r>
      <w:r w:rsidR="00AB5467" w:rsidRPr="00215B69">
        <w:rPr>
          <w:rFonts w:cs="Arial"/>
          <w:b/>
          <w:bCs/>
          <w:sz w:val="22"/>
          <w:szCs w:val="22"/>
        </w:rPr>
        <w:t xml:space="preserve"> </w:t>
      </w:r>
    </w:p>
    <w:p w:rsidR="000B1B77" w:rsidRPr="00215B69" w:rsidRDefault="000B1B77" w:rsidP="000B1B77">
      <w:pPr>
        <w:widowControl w:val="0"/>
        <w:tabs>
          <w:tab w:val="left" w:pos="6523"/>
        </w:tabs>
        <w:rPr>
          <w:rFonts w:cs="Arial"/>
          <w:sz w:val="22"/>
          <w:szCs w:val="22"/>
        </w:rPr>
      </w:pPr>
    </w:p>
    <w:p w:rsidR="000B1B77" w:rsidRPr="00215B69" w:rsidRDefault="000B1B77" w:rsidP="000B1B77">
      <w:pPr>
        <w:widowControl w:val="0"/>
        <w:jc w:val="both"/>
        <w:rPr>
          <w:rFonts w:cs="Arial"/>
          <w:sz w:val="22"/>
          <w:szCs w:val="22"/>
        </w:rPr>
      </w:pPr>
      <w:r w:rsidRPr="00215B69">
        <w:rPr>
          <w:rFonts w:cs="Arial"/>
          <w:sz w:val="22"/>
          <w:szCs w:val="22"/>
        </w:rPr>
        <w:t xml:space="preserve">Que, la Subdirección de Vigilancia en Salud Pública de la Secretaría Distrital de Salud – SDS, mediante Auto del </w:t>
      </w:r>
      <w:r w:rsidR="0061771F" w:rsidRPr="00215B69">
        <w:rPr>
          <w:rFonts w:cs="Arial"/>
          <w:sz w:val="22"/>
          <w:szCs w:val="22"/>
        </w:rPr>
        <w:t>9 de abril de 2021</w:t>
      </w:r>
      <w:r w:rsidRPr="00215B69">
        <w:rPr>
          <w:rFonts w:cs="Arial"/>
          <w:sz w:val="22"/>
          <w:szCs w:val="22"/>
        </w:rPr>
        <w:t xml:space="preserve">, formuló pliego de cargos en contra </w:t>
      </w:r>
      <w:r w:rsidR="0061771F" w:rsidRPr="00215B69">
        <w:rPr>
          <w:rFonts w:cs="Arial"/>
          <w:sz w:val="22"/>
          <w:szCs w:val="22"/>
        </w:rPr>
        <w:t>del señor JHON JAIRO LÓPEZ CASTAÑEDA</w:t>
      </w:r>
      <w:r w:rsidRPr="00215B69">
        <w:rPr>
          <w:rFonts w:cs="Arial"/>
          <w:sz w:val="22"/>
          <w:szCs w:val="22"/>
        </w:rPr>
        <w:t xml:space="preserve">, </w:t>
      </w:r>
      <w:r w:rsidR="008D05C7" w:rsidRPr="00215B69">
        <w:rPr>
          <w:rFonts w:cs="Arial"/>
          <w:sz w:val="22"/>
          <w:szCs w:val="22"/>
        </w:rPr>
        <w:t>identificado</w:t>
      </w:r>
      <w:r w:rsidRPr="00215B69">
        <w:rPr>
          <w:rFonts w:cs="Arial"/>
          <w:sz w:val="22"/>
          <w:szCs w:val="22"/>
        </w:rPr>
        <w:t xml:space="preserve"> con cedula de ciudadanía No. </w:t>
      </w:r>
      <w:r w:rsidR="008D05C7" w:rsidRPr="00215B69">
        <w:rPr>
          <w:rFonts w:cs="Arial"/>
          <w:sz w:val="22"/>
          <w:szCs w:val="22"/>
        </w:rPr>
        <w:t>79.767.305</w:t>
      </w:r>
      <w:r w:rsidRPr="00215B69">
        <w:rPr>
          <w:rFonts w:cs="Arial"/>
          <w:sz w:val="22"/>
          <w:szCs w:val="22"/>
        </w:rPr>
        <w:t xml:space="preserve"> en calidad de </w:t>
      </w:r>
      <w:r w:rsidR="008D05C7" w:rsidRPr="00215B69">
        <w:rPr>
          <w:rFonts w:cs="Arial"/>
          <w:sz w:val="22"/>
          <w:szCs w:val="22"/>
        </w:rPr>
        <w:t>propietario</w:t>
      </w:r>
      <w:r w:rsidRPr="00215B69">
        <w:rPr>
          <w:rFonts w:cs="Arial"/>
          <w:sz w:val="22"/>
          <w:szCs w:val="22"/>
        </w:rPr>
        <w:t xml:space="preserve"> y/o responsable del establecimiento denominado </w:t>
      </w:r>
      <w:r w:rsidR="008D05C7" w:rsidRPr="00215B69">
        <w:rPr>
          <w:rFonts w:cs="Arial"/>
          <w:sz w:val="22"/>
          <w:szCs w:val="22"/>
        </w:rPr>
        <w:t>TALLER PICO Y PLACA</w:t>
      </w:r>
      <w:r w:rsidRPr="00215B69">
        <w:rPr>
          <w:rFonts w:cs="Arial"/>
          <w:sz w:val="22"/>
          <w:szCs w:val="22"/>
        </w:rPr>
        <w:t xml:space="preserve">, ubicado para la época de los hechos en la </w:t>
      </w:r>
      <w:r w:rsidR="008D05C7" w:rsidRPr="00215B69">
        <w:rPr>
          <w:rFonts w:cs="Arial"/>
          <w:sz w:val="22"/>
          <w:szCs w:val="22"/>
        </w:rPr>
        <w:t xml:space="preserve">CL 72 SUR 17 B 31 </w:t>
      </w:r>
      <w:r w:rsidRPr="00215B69">
        <w:rPr>
          <w:rFonts w:cs="Arial"/>
          <w:sz w:val="22"/>
          <w:szCs w:val="22"/>
        </w:rPr>
        <w:t xml:space="preserve">de la nomenclatura urbana de la ciudad de Bogotá D.C., al infringir lo dispuesto en la normatividad sanitaria.   </w:t>
      </w:r>
      <w:r w:rsidR="008D05C7" w:rsidRPr="00215B69">
        <w:rPr>
          <w:rFonts w:cs="Arial"/>
          <w:sz w:val="22"/>
          <w:szCs w:val="22"/>
        </w:rPr>
        <w:t xml:space="preserve">           </w:t>
      </w:r>
    </w:p>
    <w:p w:rsidR="000B1B77" w:rsidRPr="00215B69" w:rsidRDefault="000B1B77" w:rsidP="000B1B77">
      <w:pPr>
        <w:widowControl w:val="0"/>
        <w:jc w:val="both"/>
        <w:rPr>
          <w:rFonts w:cs="Arial"/>
          <w:i/>
          <w:iCs/>
          <w:sz w:val="22"/>
          <w:szCs w:val="22"/>
        </w:rPr>
      </w:pPr>
      <w:r w:rsidRPr="00215B69">
        <w:rPr>
          <w:rFonts w:cs="Arial"/>
          <w:sz w:val="22"/>
          <w:szCs w:val="22"/>
        </w:rPr>
        <w:t xml:space="preserve"> </w:t>
      </w:r>
    </w:p>
    <w:p w:rsidR="000B1B77" w:rsidRPr="00215B69" w:rsidRDefault="000B1B77" w:rsidP="000B1B77">
      <w:pPr>
        <w:jc w:val="both"/>
        <w:rPr>
          <w:rFonts w:cs="Arial"/>
          <w:sz w:val="22"/>
          <w:szCs w:val="22"/>
        </w:rPr>
      </w:pPr>
      <w:r w:rsidRPr="00215B69">
        <w:rPr>
          <w:rFonts w:cs="Arial"/>
          <w:sz w:val="22"/>
          <w:szCs w:val="22"/>
        </w:rPr>
        <w:t>El citado auto contentivo de Pliego de Cargos fue notificado a la investigada de forma electrónica mediante oficio No. 202</w:t>
      </w:r>
      <w:r w:rsidR="008D05C7" w:rsidRPr="00215B69">
        <w:rPr>
          <w:rFonts w:cs="Arial"/>
          <w:sz w:val="22"/>
          <w:szCs w:val="22"/>
        </w:rPr>
        <w:t>1</w:t>
      </w:r>
      <w:r w:rsidRPr="00215B69">
        <w:rPr>
          <w:rFonts w:cs="Arial"/>
          <w:sz w:val="22"/>
          <w:szCs w:val="22"/>
        </w:rPr>
        <w:t>-EE-</w:t>
      </w:r>
      <w:r w:rsidR="008D05C7" w:rsidRPr="00215B69">
        <w:rPr>
          <w:rFonts w:cs="Arial"/>
          <w:sz w:val="22"/>
          <w:szCs w:val="22"/>
        </w:rPr>
        <w:t>98787</w:t>
      </w:r>
      <w:r w:rsidRPr="00215B69">
        <w:rPr>
          <w:rFonts w:cs="Arial"/>
          <w:sz w:val="22"/>
          <w:szCs w:val="22"/>
        </w:rPr>
        <w:t xml:space="preserve"> del </w:t>
      </w:r>
      <w:r w:rsidR="008D05C7" w:rsidRPr="00215B69">
        <w:rPr>
          <w:rFonts w:cs="Arial"/>
          <w:sz w:val="22"/>
          <w:szCs w:val="22"/>
        </w:rPr>
        <w:t>5 de octubre de 2021</w:t>
      </w:r>
      <w:r w:rsidRPr="00215B69">
        <w:rPr>
          <w:rFonts w:cs="Arial"/>
          <w:sz w:val="22"/>
          <w:szCs w:val="22"/>
        </w:rPr>
        <w:t xml:space="preserve">, con su correspondiente soporte de recibido certificado el día </w:t>
      </w:r>
      <w:r w:rsidR="008D05C7" w:rsidRPr="00215B69">
        <w:rPr>
          <w:rFonts w:cs="Arial"/>
          <w:sz w:val="22"/>
          <w:szCs w:val="22"/>
        </w:rPr>
        <w:t>7 de octubre de 2021</w:t>
      </w:r>
      <w:r w:rsidRPr="00215B69">
        <w:rPr>
          <w:rFonts w:cs="Arial"/>
          <w:sz w:val="22"/>
          <w:szCs w:val="22"/>
        </w:rPr>
        <w:t xml:space="preserve">. Folios </w:t>
      </w:r>
      <w:r w:rsidR="00C00370" w:rsidRPr="00215B69">
        <w:rPr>
          <w:rFonts w:cs="Arial"/>
          <w:sz w:val="22"/>
          <w:szCs w:val="22"/>
        </w:rPr>
        <w:t>17 y</w:t>
      </w:r>
      <w:r w:rsidRPr="00215B69">
        <w:rPr>
          <w:rFonts w:cs="Arial"/>
          <w:sz w:val="22"/>
          <w:szCs w:val="22"/>
        </w:rPr>
        <w:t xml:space="preserve"> ss del expediente materia de estudio. </w:t>
      </w:r>
      <w:r w:rsidR="008D05C7" w:rsidRPr="00215B69">
        <w:rPr>
          <w:rFonts w:cs="Arial"/>
          <w:sz w:val="22"/>
          <w:szCs w:val="22"/>
        </w:rPr>
        <w:t xml:space="preserve"> </w:t>
      </w:r>
      <w:r w:rsidRPr="00215B69">
        <w:rPr>
          <w:rFonts w:cs="Arial"/>
          <w:sz w:val="22"/>
          <w:szCs w:val="22"/>
        </w:rPr>
        <w:t xml:space="preserve">   </w:t>
      </w:r>
    </w:p>
    <w:p w:rsidR="000B1B77" w:rsidRPr="00215B69" w:rsidRDefault="000B1B77" w:rsidP="000B1B77">
      <w:pPr>
        <w:widowControl w:val="0"/>
        <w:jc w:val="both"/>
        <w:rPr>
          <w:rFonts w:cs="Arial"/>
          <w:sz w:val="22"/>
          <w:szCs w:val="22"/>
        </w:rPr>
      </w:pPr>
    </w:p>
    <w:p w:rsidR="000B1B77" w:rsidRPr="00215B69" w:rsidRDefault="000B1B77" w:rsidP="000B1B77">
      <w:pPr>
        <w:widowControl w:val="0"/>
        <w:jc w:val="both"/>
        <w:rPr>
          <w:rFonts w:cs="Arial"/>
          <w:bCs/>
          <w:sz w:val="22"/>
          <w:szCs w:val="22"/>
        </w:rPr>
      </w:pPr>
      <w:r w:rsidRPr="00215B69">
        <w:rPr>
          <w:rFonts w:cs="Arial"/>
          <w:bCs/>
          <w:sz w:val="22"/>
          <w:szCs w:val="22"/>
        </w:rPr>
        <w:t xml:space="preserve">Que Mediante Resolución No. </w:t>
      </w:r>
      <w:r w:rsidR="005A1136" w:rsidRPr="00215B69">
        <w:rPr>
          <w:rFonts w:cs="Arial"/>
          <w:sz w:val="22"/>
          <w:szCs w:val="22"/>
        </w:rPr>
        <w:t>8570 del 15 de diciembre de 2021</w:t>
      </w:r>
      <w:r w:rsidRPr="00215B69">
        <w:rPr>
          <w:rFonts w:cs="Arial"/>
          <w:sz w:val="22"/>
          <w:szCs w:val="22"/>
        </w:rPr>
        <w:t>, la Subdirección de Vigilancia en Salud Pública de la SDS,</w:t>
      </w:r>
      <w:r w:rsidRPr="00215B69">
        <w:rPr>
          <w:rFonts w:cs="Arial"/>
          <w:bCs/>
          <w:sz w:val="22"/>
          <w:szCs w:val="22"/>
        </w:rPr>
        <w:t xml:space="preserve"> impuso </w:t>
      </w:r>
      <w:r w:rsidR="0061771F" w:rsidRPr="00215B69">
        <w:rPr>
          <w:rFonts w:cs="Arial"/>
          <w:bCs/>
          <w:sz w:val="22"/>
          <w:szCs w:val="22"/>
        </w:rPr>
        <w:t>al señor JHON JAIRO LÓPEZ CASTAÑEDA</w:t>
      </w:r>
      <w:r w:rsidRPr="00215B69">
        <w:rPr>
          <w:rFonts w:cs="Arial"/>
          <w:sz w:val="22"/>
          <w:szCs w:val="22"/>
        </w:rPr>
        <w:t xml:space="preserve">, </w:t>
      </w:r>
      <w:r w:rsidR="008D05C7" w:rsidRPr="00215B69">
        <w:rPr>
          <w:rFonts w:cs="Arial"/>
          <w:sz w:val="22"/>
          <w:szCs w:val="22"/>
        </w:rPr>
        <w:t>identificado</w:t>
      </w:r>
      <w:r w:rsidRPr="00215B69">
        <w:rPr>
          <w:rFonts w:cs="Arial"/>
          <w:sz w:val="22"/>
          <w:szCs w:val="22"/>
        </w:rPr>
        <w:t xml:space="preserve"> con cedula de ciudadanía No. </w:t>
      </w:r>
      <w:r w:rsidR="008D05C7" w:rsidRPr="00215B69">
        <w:rPr>
          <w:rFonts w:cs="Arial"/>
          <w:sz w:val="22"/>
          <w:szCs w:val="22"/>
        </w:rPr>
        <w:t>79.767.305</w:t>
      </w:r>
      <w:r w:rsidRPr="00215B69">
        <w:rPr>
          <w:rFonts w:cs="Arial"/>
          <w:sz w:val="22"/>
          <w:szCs w:val="22"/>
        </w:rPr>
        <w:t xml:space="preserve"> en calidad de </w:t>
      </w:r>
      <w:r w:rsidR="008D05C7" w:rsidRPr="00215B69">
        <w:rPr>
          <w:rFonts w:cs="Arial"/>
          <w:sz w:val="22"/>
          <w:szCs w:val="22"/>
        </w:rPr>
        <w:t>propietario</w:t>
      </w:r>
      <w:r w:rsidRPr="00215B69">
        <w:rPr>
          <w:rFonts w:cs="Arial"/>
          <w:sz w:val="22"/>
          <w:szCs w:val="22"/>
        </w:rPr>
        <w:t xml:space="preserve"> y/o responsable del establecimiento denominado </w:t>
      </w:r>
      <w:r w:rsidR="008D05C7" w:rsidRPr="00215B69">
        <w:rPr>
          <w:rFonts w:cs="Arial"/>
          <w:sz w:val="22"/>
          <w:szCs w:val="22"/>
        </w:rPr>
        <w:t>TALLER PICO Y PLACA</w:t>
      </w:r>
      <w:r w:rsidRPr="00215B69">
        <w:rPr>
          <w:rFonts w:cs="Arial"/>
          <w:sz w:val="22"/>
          <w:szCs w:val="22"/>
        </w:rPr>
        <w:t xml:space="preserve">, </w:t>
      </w:r>
      <w:r w:rsidRPr="00215B69">
        <w:rPr>
          <w:rFonts w:cs="Arial"/>
          <w:bCs/>
          <w:sz w:val="22"/>
          <w:szCs w:val="22"/>
        </w:rPr>
        <w:t xml:space="preserve">sanción consistente en multa </w:t>
      </w:r>
      <w:r w:rsidRPr="00215B69">
        <w:rPr>
          <w:rFonts w:cs="Arial"/>
          <w:sz w:val="22"/>
          <w:szCs w:val="22"/>
        </w:rPr>
        <w:t xml:space="preserve">de treinta (30) salarios mínimos legales diarios vigentes equivalentes a la suma de </w:t>
      </w:r>
      <w:r w:rsidR="00C00370" w:rsidRPr="00215B69">
        <w:rPr>
          <w:rFonts w:cs="Arial"/>
          <w:sz w:val="22"/>
          <w:szCs w:val="22"/>
        </w:rPr>
        <w:t>NOVECIENTOS OCHO MIL QUINIENTOS VEINTISÉIS</w:t>
      </w:r>
      <w:r w:rsidRPr="00215B69">
        <w:rPr>
          <w:rFonts w:cs="Arial"/>
          <w:sz w:val="22"/>
          <w:szCs w:val="22"/>
        </w:rPr>
        <w:t xml:space="preserve"> PESOS M/CTE ($</w:t>
      </w:r>
      <w:r w:rsidR="00C00370" w:rsidRPr="00215B69">
        <w:rPr>
          <w:rFonts w:cs="Arial"/>
          <w:sz w:val="22"/>
          <w:szCs w:val="22"/>
        </w:rPr>
        <w:t>908.526</w:t>
      </w:r>
      <w:r w:rsidRPr="00215B69">
        <w:rPr>
          <w:rFonts w:cs="Arial"/>
          <w:sz w:val="22"/>
          <w:szCs w:val="22"/>
        </w:rPr>
        <w:t xml:space="preserve">), </w:t>
      </w:r>
      <w:r w:rsidRPr="00215B69">
        <w:rPr>
          <w:rFonts w:cs="Arial"/>
          <w:bCs/>
          <w:sz w:val="22"/>
          <w:szCs w:val="22"/>
        </w:rPr>
        <w:t xml:space="preserve">conforme a lo expuesto en la resolución materia de alzada.             </w:t>
      </w:r>
    </w:p>
    <w:p w:rsidR="000B1B77" w:rsidRPr="00215B69" w:rsidRDefault="000B1B77" w:rsidP="000B1B77">
      <w:pPr>
        <w:widowControl w:val="0"/>
        <w:jc w:val="both"/>
        <w:rPr>
          <w:rFonts w:cs="Arial"/>
          <w:sz w:val="22"/>
          <w:szCs w:val="22"/>
        </w:rPr>
      </w:pPr>
    </w:p>
    <w:p w:rsidR="000B1B77" w:rsidRPr="00215B69" w:rsidRDefault="000B1B77" w:rsidP="000B1B77">
      <w:pPr>
        <w:jc w:val="both"/>
        <w:rPr>
          <w:rFonts w:cs="Arial"/>
          <w:sz w:val="22"/>
          <w:szCs w:val="22"/>
        </w:rPr>
      </w:pPr>
      <w:r w:rsidRPr="00215B69">
        <w:rPr>
          <w:rFonts w:cs="Arial"/>
          <w:sz w:val="22"/>
          <w:szCs w:val="22"/>
        </w:rPr>
        <w:t>Que, mediante comunicación con radicado 2022ER</w:t>
      </w:r>
      <w:r w:rsidR="00C00370" w:rsidRPr="00215B69">
        <w:rPr>
          <w:rFonts w:cs="Arial"/>
          <w:sz w:val="22"/>
          <w:szCs w:val="22"/>
        </w:rPr>
        <w:t>2783</w:t>
      </w:r>
      <w:r w:rsidRPr="00215B69">
        <w:rPr>
          <w:rFonts w:cs="Arial"/>
          <w:sz w:val="22"/>
          <w:szCs w:val="22"/>
        </w:rPr>
        <w:t xml:space="preserve"> de fecha </w:t>
      </w:r>
      <w:r w:rsidR="00C00370" w:rsidRPr="00215B69">
        <w:rPr>
          <w:rFonts w:cs="Arial"/>
          <w:sz w:val="22"/>
          <w:szCs w:val="22"/>
        </w:rPr>
        <w:t xml:space="preserve">21 de enero </w:t>
      </w:r>
      <w:r w:rsidRPr="00215B69">
        <w:rPr>
          <w:rFonts w:cs="Arial"/>
          <w:sz w:val="22"/>
          <w:szCs w:val="22"/>
        </w:rPr>
        <w:t xml:space="preserve">de 2022, obrante a folios </w:t>
      </w:r>
      <w:r w:rsidR="00C00370" w:rsidRPr="00215B69">
        <w:rPr>
          <w:rFonts w:cs="Arial"/>
          <w:sz w:val="22"/>
          <w:szCs w:val="22"/>
        </w:rPr>
        <w:t>34</w:t>
      </w:r>
      <w:r w:rsidRPr="00215B69">
        <w:rPr>
          <w:rFonts w:cs="Arial"/>
          <w:sz w:val="22"/>
          <w:szCs w:val="22"/>
        </w:rPr>
        <w:t xml:space="preserve"> y ss. del libelo en estudio, </w:t>
      </w:r>
      <w:r w:rsidR="0061771F" w:rsidRPr="00215B69">
        <w:rPr>
          <w:rFonts w:cs="Arial"/>
          <w:sz w:val="22"/>
          <w:szCs w:val="22"/>
        </w:rPr>
        <w:t>el señor JHON JAIRO LÓPEZ CASTAÑEDA</w:t>
      </w:r>
      <w:r w:rsidRPr="00215B69">
        <w:rPr>
          <w:rFonts w:cs="Arial"/>
          <w:sz w:val="22"/>
          <w:szCs w:val="22"/>
        </w:rPr>
        <w:t xml:space="preserve">, </w:t>
      </w:r>
      <w:r w:rsidR="008D05C7" w:rsidRPr="00215B69">
        <w:rPr>
          <w:rFonts w:cs="Arial"/>
          <w:sz w:val="22"/>
          <w:szCs w:val="22"/>
        </w:rPr>
        <w:t>identificado</w:t>
      </w:r>
      <w:r w:rsidRPr="00215B69">
        <w:rPr>
          <w:rFonts w:cs="Arial"/>
          <w:sz w:val="22"/>
          <w:szCs w:val="22"/>
        </w:rPr>
        <w:t xml:space="preserve"> con cedula de ciudadanía No. </w:t>
      </w:r>
      <w:r w:rsidR="008D05C7" w:rsidRPr="00215B69">
        <w:rPr>
          <w:rFonts w:cs="Arial"/>
          <w:sz w:val="22"/>
          <w:szCs w:val="22"/>
        </w:rPr>
        <w:t>79.767.305</w:t>
      </w:r>
      <w:r w:rsidRPr="00215B69">
        <w:rPr>
          <w:rFonts w:cs="Arial"/>
          <w:sz w:val="22"/>
          <w:szCs w:val="22"/>
        </w:rPr>
        <w:t xml:space="preserve"> en calidad de </w:t>
      </w:r>
      <w:r w:rsidR="008D05C7" w:rsidRPr="00215B69">
        <w:rPr>
          <w:rFonts w:cs="Arial"/>
          <w:sz w:val="22"/>
          <w:szCs w:val="22"/>
        </w:rPr>
        <w:t>propietario</w:t>
      </w:r>
      <w:r w:rsidRPr="00215B69">
        <w:rPr>
          <w:rFonts w:cs="Arial"/>
          <w:sz w:val="22"/>
          <w:szCs w:val="22"/>
        </w:rPr>
        <w:t xml:space="preserve"> y/o responsable del establecimiento denominado </w:t>
      </w:r>
      <w:r w:rsidR="008D05C7" w:rsidRPr="00215B69">
        <w:rPr>
          <w:rFonts w:cs="Arial"/>
          <w:sz w:val="22"/>
          <w:szCs w:val="22"/>
        </w:rPr>
        <w:t>TALLER PICO Y PLACA</w:t>
      </w:r>
      <w:r w:rsidRPr="00215B69">
        <w:rPr>
          <w:rFonts w:cs="Arial"/>
          <w:sz w:val="22"/>
          <w:szCs w:val="22"/>
        </w:rPr>
        <w:t xml:space="preserve">, presentó recursos de reposición y en subsidio apelación en contra de la </w:t>
      </w:r>
      <w:r w:rsidRPr="00215B69">
        <w:rPr>
          <w:rFonts w:cs="Arial"/>
          <w:bCs/>
          <w:sz w:val="22"/>
          <w:szCs w:val="22"/>
        </w:rPr>
        <w:t xml:space="preserve">Resolución No. </w:t>
      </w:r>
      <w:r w:rsidR="005A1136" w:rsidRPr="00215B69">
        <w:rPr>
          <w:rFonts w:cs="Arial"/>
          <w:sz w:val="22"/>
          <w:szCs w:val="22"/>
        </w:rPr>
        <w:t>8570 del 15 de diciembre de 2021</w:t>
      </w:r>
      <w:r w:rsidRPr="00215B69">
        <w:rPr>
          <w:rFonts w:cs="Arial"/>
          <w:sz w:val="22"/>
          <w:szCs w:val="22"/>
        </w:rPr>
        <w:t xml:space="preserve">.     </w:t>
      </w:r>
    </w:p>
    <w:p w:rsidR="000B1B77" w:rsidRPr="00215B69" w:rsidRDefault="000B1B77" w:rsidP="000B1B77">
      <w:pPr>
        <w:jc w:val="both"/>
        <w:rPr>
          <w:rFonts w:cs="Arial"/>
          <w:sz w:val="22"/>
          <w:szCs w:val="22"/>
        </w:rPr>
      </w:pPr>
    </w:p>
    <w:p w:rsidR="000B1B77" w:rsidRPr="00215B69" w:rsidRDefault="000B1B77" w:rsidP="000B1B77">
      <w:pPr>
        <w:jc w:val="both"/>
        <w:rPr>
          <w:rFonts w:cs="Arial"/>
          <w:sz w:val="22"/>
          <w:szCs w:val="22"/>
        </w:rPr>
      </w:pPr>
      <w:r w:rsidRPr="00215B69">
        <w:rPr>
          <w:rFonts w:cs="Arial"/>
          <w:sz w:val="22"/>
          <w:szCs w:val="22"/>
        </w:rPr>
        <w:t xml:space="preserve">Que mediante Resolución No. </w:t>
      </w:r>
      <w:r w:rsidR="00C00370" w:rsidRPr="00215B69">
        <w:rPr>
          <w:rFonts w:cs="Arial"/>
          <w:sz w:val="22"/>
          <w:szCs w:val="22"/>
        </w:rPr>
        <w:t>1529</w:t>
      </w:r>
      <w:r w:rsidRPr="00215B69">
        <w:rPr>
          <w:rFonts w:cs="Arial"/>
          <w:sz w:val="22"/>
          <w:szCs w:val="22"/>
        </w:rPr>
        <w:t xml:space="preserve"> del </w:t>
      </w:r>
      <w:r w:rsidR="00C00370" w:rsidRPr="00215B69">
        <w:rPr>
          <w:rFonts w:cs="Arial"/>
          <w:sz w:val="22"/>
          <w:szCs w:val="22"/>
        </w:rPr>
        <w:t xml:space="preserve">15 </w:t>
      </w:r>
      <w:r w:rsidRPr="00215B69">
        <w:rPr>
          <w:rFonts w:cs="Arial"/>
          <w:sz w:val="22"/>
          <w:szCs w:val="22"/>
        </w:rPr>
        <w:t>de</w:t>
      </w:r>
      <w:r w:rsidR="00C00370" w:rsidRPr="00215B69">
        <w:rPr>
          <w:rFonts w:cs="Arial"/>
          <w:sz w:val="22"/>
          <w:szCs w:val="22"/>
        </w:rPr>
        <w:t xml:space="preserve"> febrero de</w:t>
      </w:r>
      <w:r w:rsidRPr="00215B69">
        <w:rPr>
          <w:rFonts w:cs="Arial"/>
          <w:sz w:val="22"/>
          <w:szCs w:val="22"/>
        </w:rPr>
        <w:t xml:space="preserve"> 2022 la Subdirección de Vigilancia en Salud Pública de la SDS</w:t>
      </w:r>
      <w:r w:rsidRPr="00215B69">
        <w:rPr>
          <w:rFonts w:cs="Arial"/>
          <w:bCs/>
          <w:sz w:val="22"/>
          <w:szCs w:val="22"/>
        </w:rPr>
        <w:t xml:space="preserve">, </w:t>
      </w:r>
      <w:r w:rsidRPr="00215B69">
        <w:rPr>
          <w:rFonts w:cs="Arial"/>
          <w:sz w:val="22"/>
          <w:szCs w:val="22"/>
        </w:rPr>
        <w:t xml:space="preserve">resolvió el recurso de reposición decidiendo confirmar el acto administrativo sancionatorio y en consecuencia concedió el recurso de alzada ante el Despacho del Secretario Distrital de Salud.   </w:t>
      </w:r>
    </w:p>
    <w:p w:rsidR="00B26732" w:rsidRPr="00215B69" w:rsidRDefault="00B26732" w:rsidP="000B1B77">
      <w:pPr>
        <w:jc w:val="both"/>
        <w:rPr>
          <w:rFonts w:cs="Arial"/>
          <w:sz w:val="22"/>
          <w:szCs w:val="22"/>
        </w:rPr>
      </w:pPr>
    </w:p>
    <w:p w:rsidR="000B1B77" w:rsidRPr="00215B69" w:rsidRDefault="000B1B77" w:rsidP="000B1B77">
      <w:pPr>
        <w:jc w:val="both"/>
        <w:rPr>
          <w:rFonts w:cs="Arial"/>
          <w:sz w:val="22"/>
          <w:szCs w:val="22"/>
        </w:rPr>
      </w:pPr>
      <w:r w:rsidRPr="00215B69">
        <w:rPr>
          <w:rFonts w:cs="Arial"/>
          <w:sz w:val="22"/>
          <w:szCs w:val="22"/>
        </w:rPr>
        <w:lastRenderedPageBreak/>
        <w:t xml:space="preserve">Con fundamento en lo expuesto y en lo establecido en el numeral 7 del artículo 3 del Decreto 507 del 06 de noviembre de 2013, este Despacho procede a resolver de fondo el recurso interpuesto. </w:t>
      </w:r>
    </w:p>
    <w:p w:rsidR="00172E79" w:rsidRPr="00215B69" w:rsidRDefault="00172E79" w:rsidP="000B1B77">
      <w:pPr>
        <w:jc w:val="both"/>
        <w:rPr>
          <w:rFonts w:cs="Arial"/>
          <w:sz w:val="22"/>
          <w:szCs w:val="22"/>
        </w:rPr>
      </w:pPr>
    </w:p>
    <w:p w:rsidR="00B26732" w:rsidRPr="00215B69" w:rsidRDefault="00B26732" w:rsidP="00B26732">
      <w:pPr>
        <w:jc w:val="center"/>
        <w:rPr>
          <w:rFonts w:cs="Arial"/>
          <w:b/>
          <w:bCs/>
          <w:sz w:val="22"/>
          <w:szCs w:val="22"/>
        </w:rPr>
      </w:pPr>
    </w:p>
    <w:p w:rsidR="00B26732" w:rsidRPr="00215B69" w:rsidRDefault="00B26732" w:rsidP="00B26732">
      <w:pPr>
        <w:jc w:val="center"/>
        <w:rPr>
          <w:rFonts w:cs="Arial"/>
          <w:b/>
          <w:bCs/>
          <w:sz w:val="22"/>
          <w:szCs w:val="22"/>
        </w:rPr>
      </w:pPr>
      <w:r w:rsidRPr="00215B69">
        <w:rPr>
          <w:rFonts w:cs="Arial"/>
          <w:b/>
          <w:bCs/>
          <w:sz w:val="22"/>
          <w:szCs w:val="22"/>
        </w:rPr>
        <w:t>CONSIDERACIONES DEL DESPACHO</w:t>
      </w:r>
    </w:p>
    <w:p w:rsidR="00B26732" w:rsidRPr="00215B69" w:rsidRDefault="00B26732" w:rsidP="000B1B77">
      <w:pPr>
        <w:jc w:val="both"/>
        <w:rPr>
          <w:rFonts w:cs="Arial"/>
          <w:sz w:val="22"/>
          <w:szCs w:val="22"/>
        </w:rPr>
      </w:pPr>
    </w:p>
    <w:p w:rsidR="00172E79" w:rsidRPr="00215B69" w:rsidRDefault="00172E79" w:rsidP="00172E79">
      <w:pPr>
        <w:jc w:val="both"/>
        <w:rPr>
          <w:rFonts w:cs="Arial"/>
          <w:sz w:val="22"/>
          <w:szCs w:val="22"/>
        </w:rPr>
      </w:pPr>
      <w:r w:rsidRPr="00215B69">
        <w:rPr>
          <w:rFonts w:cs="Arial"/>
          <w:sz w:val="22"/>
          <w:szCs w:val="22"/>
        </w:rPr>
        <w:t>El Código Administrativo y de lo Contencioso Administrativo Ley 1437 de 2011, establece un procedimiento administrativo sancionatorio tipo en su artículo 47, que debe aplicarse, en concordancia con las disposiciones de la misma Ley que le sean aplicables y las demás normas del ordenamiento jurídico para lo no dispuesto:</w:t>
      </w:r>
    </w:p>
    <w:p w:rsidR="00172E79" w:rsidRPr="00215B69" w:rsidRDefault="00172E79" w:rsidP="00172E79">
      <w:pPr>
        <w:rPr>
          <w:rFonts w:cs="Arial"/>
          <w:b/>
          <w:bCs/>
          <w:sz w:val="22"/>
          <w:szCs w:val="22"/>
        </w:rPr>
      </w:pPr>
    </w:p>
    <w:p w:rsidR="00172E79" w:rsidRPr="00215B69" w:rsidRDefault="00172E79" w:rsidP="00172E79">
      <w:pPr>
        <w:ind w:left="851" w:right="851"/>
        <w:jc w:val="both"/>
        <w:rPr>
          <w:rFonts w:cs="Arial"/>
          <w:i/>
          <w:iCs/>
          <w:sz w:val="20"/>
          <w:szCs w:val="22"/>
        </w:rPr>
      </w:pPr>
      <w:r w:rsidRPr="00215B69">
        <w:rPr>
          <w:rFonts w:cs="Arial"/>
          <w:i/>
          <w:iCs/>
          <w:sz w:val="20"/>
          <w:szCs w:val="22"/>
        </w:rPr>
        <w:t>“(…) Artículo 47. Procedimiento administrativo sancionatorio. Los procedimientos administrativos de carácter sancionatorio no regulados por leyes especiales o por el Código Disciplinario Único se sujetarán a las disposiciones de esta Parte Primera del Código. Los preceptos de este Código se aplicarán también en lo no previsto por dichas leyes. Las actuaciones administrativas de naturaleza sancionatoria podrán iniciarse de oficio o por solicitud de cualquier persona. Cuando como resultado de averiguaciones preliminares, la autoridad establezca que existen méritos para adelantar un procedimiento sancionatorio, así lo comunicará al interesado. Concluidas las averiguaciones preliminares, si fuere del caso, formulará cargos mediante acto administrativo en el que señalará, con precisión y claridad, los hechos que lo originan, las personas naturales o jurídicas objeto de la investigación, las disposiciones presuntamente vulneradas y las sanciones o medidas que serían procedentes Este acto administrativo deberá ser notificado personalmente a los investigados. Contra esta decisión no procede recurso. Los investigados podrán, dentro de los quince (15) días siguientes a la notificación de la formulación de cargos, presentar los descargos y solicitar o aportar las pruebas que pretendan hacer valer. Serán rechazadas de manera motivada, las inconducentes, las impertinentes y las superfluas y no se atenderán las practicadas ilegalmente (…)”.</w:t>
      </w:r>
    </w:p>
    <w:p w:rsidR="00172E79" w:rsidRPr="00215B69" w:rsidRDefault="00172E79" w:rsidP="00172E79">
      <w:pPr>
        <w:rPr>
          <w:rFonts w:cs="Arial"/>
          <w:b/>
          <w:bCs/>
          <w:sz w:val="22"/>
          <w:szCs w:val="22"/>
        </w:rPr>
      </w:pPr>
    </w:p>
    <w:p w:rsidR="00172E79" w:rsidRPr="00215B69" w:rsidRDefault="00172E79" w:rsidP="00172E79">
      <w:pPr>
        <w:jc w:val="both"/>
        <w:rPr>
          <w:rFonts w:cs="Arial"/>
          <w:sz w:val="22"/>
          <w:szCs w:val="22"/>
        </w:rPr>
      </w:pPr>
      <w:r w:rsidRPr="00215B69">
        <w:rPr>
          <w:rFonts w:cs="Arial"/>
          <w:sz w:val="22"/>
          <w:szCs w:val="22"/>
        </w:rPr>
        <w:t>La Ley 1437 de 2011, en su artículo 52, impone a las actuaciones administrativas un término para adelantar las investigaciones y si es del caso imponer sanción administrativa.</w:t>
      </w:r>
    </w:p>
    <w:p w:rsidR="00172E79" w:rsidRPr="00215B69" w:rsidRDefault="00172E79" w:rsidP="00172E79">
      <w:pPr>
        <w:jc w:val="both"/>
        <w:rPr>
          <w:rFonts w:cs="Arial"/>
          <w:sz w:val="22"/>
          <w:szCs w:val="22"/>
        </w:rPr>
      </w:pPr>
    </w:p>
    <w:p w:rsidR="00172E79" w:rsidRPr="00215B69" w:rsidRDefault="00172E79" w:rsidP="00172E79">
      <w:pPr>
        <w:jc w:val="both"/>
        <w:rPr>
          <w:rFonts w:cs="Arial"/>
          <w:sz w:val="22"/>
          <w:szCs w:val="22"/>
        </w:rPr>
      </w:pPr>
      <w:r w:rsidRPr="00215B69">
        <w:rPr>
          <w:rFonts w:cs="Arial"/>
          <w:sz w:val="22"/>
          <w:szCs w:val="22"/>
        </w:rPr>
        <w:t xml:space="preserve">Es preciso indicar que el </w:t>
      </w:r>
      <w:r w:rsidRPr="00215B69">
        <w:rPr>
          <w:rFonts w:cs="Arial"/>
          <w:b/>
          <w:bCs/>
          <w:sz w:val="22"/>
          <w:szCs w:val="22"/>
        </w:rPr>
        <w:t>Artículo 52 de la Ley 1437 de 2011</w:t>
      </w:r>
      <w:r w:rsidRPr="00215B69">
        <w:rPr>
          <w:rFonts w:cs="Arial"/>
          <w:sz w:val="22"/>
          <w:szCs w:val="22"/>
        </w:rPr>
        <w:t xml:space="preserve">, dispone que la administración cuenta con </w:t>
      </w:r>
      <w:r w:rsidRPr="00215B69">
        <w:rPr>
          <w:rFonts w:cs="Arial"/>
          <w:b/>
          <w:bCs/>
          <w:sz w:val="22"/>
          <w:szCs w:val="22"/>
        </w:rPr>
        <w:t>un año</w:t>
      </w:r>
      <w:r w:rsidRPr="00215B69">
        <w:rPr>
          <w:rFonts w:cs="Arial"/>
          <w:sz w:val="22"/>
          <w:szCs w:val="22"/>
        </w:rPr>
        <w:t xml:space="preserve"> para resolver los recursos impetrados contra los actos administrativos de carácter sancionatorio, al término del cual, la administración pierde la competencia para resolver los mismos generando como consecuencia una decisión a favor del recurrente y el archivo definitivo de las diligencias procesales. En efecto la citada norma dispone. </w:t>
      </w:r>
    </w:p>
    <w:p w:rsidR="00172E79" w:rsidRPr="00215B69" w:rsidRDefault="00172E79" w:rsidP="00172E79">
      <w:pPr>
        <w:jc w:val="both"/>
        <w:rPr>
          <w:rFonts w:cs="Arial"/>
          <w:sz w:val="22"/>
          <w:szCs w:val="22"/>
        </w:rPr>
      </w:pPr>
    </w:p>
    <w:p w:rsidR="00172E79" w:rsidRPr="00215B69" w:rsidRDefault="00172E79" w:rsidP="00172E79">
      <w:pPr>
        <w:shd w:val="clear" w:color="auto" w:fill="FFFFFF"/>
        <w:ind w:left="851" w:right="851"/>
        <w:jc w:val="both"/>
        <w:rPr>
          <w:rFonts w:cs="Arial"/>
          <w:i/>
          <w:iCs/>
          <w:sz w:val="20"/>
          <w:szCs w:val="22"/>
          <w:lang w:bidi="ar-SA"/>
        </w:rPr>
      </w:pPr>
      <w:r w:rsidRPr="00215B69">
        <w:rPr>
          <w:rFonts w:cs="Arial"/>
          <w:i/>
          <w:iCs/>
          <w:sz w:val="20"/>
          <w:szCs w:val="22"/>
          <w:lang w:bidi="ar-SA"/>
        </w:rPr>
        <w:t>(…)</w:t>
      </w:r>
    </w:p>
    <w:p w:rsidR="00172E79" w:rsidRPr="00215B69" w:rsidRDefault="00172E79" w:rsidP="00172E79">
      <w:pPr>
        <w:shd w:val="clear" w:color="auto" w:fill="FFFFFF"/>
        <w:ind w:left="851" w:right="851"/>
        <w:jc w:val="both"/>
        <w:rPr>
          <w:rFonts w:cs="Arial"/>
          <w:i/>
          <w:iCs/>
          <w:sz w:val="20"/>
          <w:szCs w:val="22"/>
          <w:lang w:bidi="ar-SA"/>
        </w:rPr>
      </w:pPr>
    </w:p>
    <w:p w:rsidR="00172E79" w:rsidRPr="00215B69" w:rsidRDefault="00172E79" w:rsidP="00172E79">
      <w:pPr>
        <w:shd w:val="clear" w:color="auto" w:fill="FFFFFF"/>
        <w:ind w:left="851" w:right="851"/>
        <w:jc w:val="both"/>
        <w:rPr>
          <w:rFonts w:cs="Arial"/>
          <w:i/>
          <w:iCs/>
          <w:sz w:val="20"/>
          <w:szCs w:val="22"/>
          <w:lang w:bidi="ar-SA"/>
        </w:rPr>
      </w:pPr>
      <w:r w:rsidRPr="00215B69">
        <w:rPr>
          <w:rFonts w:cs="Arial"/>
          <w:b/>
          <w:bCs/>
          <w:i/>
          <w:iCs/>
          <w:sz w:val="20"/>
          <w:szCs w:val="22"/>
          <w:lang w:bidi="ar-SA"/>
        </w:rPr>
        <w:t>ARTÍCULO</w:t>
      </w:r>
      <w:bookmarkStart w:id="1" w:name="52"/>
      <w:bookmarkEnd w:id="1"/>
      <w:r w:rsidRPr="00215B69">
        <w:rPr>
          <w:rFonts w:cs="Arial"/>
          <w:b/>
          <w:bCs/>
          <w:i/>
          <w:iCs/>
          <w:sz w:val="20"/>
          <w:szCs w:val="22"/>
          <w:lang w:bidi="ar-SA"/>
        </w:rPr>
        <w:t> 52. Caducidad de la facultad sancionatoria.</w:t>
      </w:r>
      <w:r w:rsidRPr="00215B69">
        <w:rPr>
          <w:rFonts w:cs="Arial"/>
          <w:i/>
          <w:iCs/>
          <w:sz w:val="20"/>
          <w:szCs w:val="22"/>
          <w:lang w:bidi="ar-SA"/>
        </w:rPr>
        <w:t xml:space="preserve"> Salvo lo dispuesto en leyes especiales, la facultad que tienen las autoridades para imponer </w:t>
      </w:r>
      <w:proofErr w:type="gramStart"/>
      <w:r w:rsidRPr="00215B69">
        <w:rPr>
          <w:rFonts w:cs="Arial"/>
          <w:i/>
          <w:iCs/>
          <w:sz w:val="20"/>
          <w:szCs w:val="22"/>
          <w:lang w:bidi="ar-SA"/>
        </w:rPr>
        <w:t>sanciones caduca</w:t>
      </w:r>
      <w:proofErr w:type="gramEnd"/>
      <w:r w:rsidRPr="00215B69">
        <w:rPr>
          <w:rFonts w:cs="Arial"/>
          <w:i/>
          <w:iCs/>
          <w:sz w:val="20"/>
          <w:szCs w:val="22"/>
          <w:lang w:bidi="ar-SA"/>
        </w:rPr>
        <w:t xml:space="preserve"> a los tres (3) años de ocurrido el hecho, la conducta u omisión que pudiere ocasionarlas, término dentro del cual el acto administrativo que impone la sanción debe haber sido expedido y notificado. </w:t>
      </w:r>
      <w:r w:rsidRPr="00215B69">
        <w:rPr>
          <w:rFonts w:cs="Arial"/>
          <w:b/>
          <w:bCs/>
          <w:i/>
          <w:iCs/>
          <w:sz w:val="20"/>
          <w:szCs w:val="22"/>
          <w:lang w:bidi="ar-SA"/>
        </w:rPr>
        <w:t>Dicho acto sancionatorio es diferente de los actos que resuelven los recursos, los cuales deberán ser decididos, so pena de pérdida de competencia, en un término de un (1) año contado a partir de su debida y oportuna interposición. </w:t>
      </w:r>
      <w:r w:rsidRPr="00215B69">
        <w:rPr>
          <w:rFonts w:cs="Arial"/>
          <w:b/>
          <w:bCs/>
          <w:i/>
          <w:iCs/>
          <w:sz w:val="20"/>
          <w:szCs w:val="22"/>
          <w:u w:val="single"/>
          <w:lang w:bidi="ar-SA"/>
        </w:rPr>
        <w:t xml:space="preserve">Si los recursos no se </w:t>
      </w:r>
      <w:r w:rsidRPr="00215B69">
        <w:rPr>
          <w:rFonts w:cs="Arial"/>
          <w:b/>
          <w:bCs/>
          <w:i/>
          <w:iCs/>
          <w:sz w:val="20"/>
          <w:szCs w:val="22"/>
          <w:u w:val="single"/>
          <w:lang w:bidi="ar-SA"/>
        </w:rPr>
        <w:lastRenderedPageBreak/>
        <w:t>deciden en el término fijado en esta disposición, se entenderán fallados a favor del recurrente,</w:t>
      </w:r>
      <w:r w:rsidRPr="00215B69">
        <w:rPr>
          <w:rFonts w:cs="Arial"/>
          <w:i/>
          <w:iCs/>
          <w:sz w:val="20"/>
          <w:szCs w:val="22"/>
          <w:lang w:bidi="ar-SA"/>
        </w:rPr>
        <w:t xml:space="preserve"> sin perjuicio de la responsabilidad patrimonial y disciplinaria que tal abstención genere para el funcionario encargado de resolver (Negrillas por fuera del texto original).</w:t>
      </w:r>
    </w:p>
    <w:p w:rsidR="00172E79" w:rsidRPr="00215B69" w:rsidRDefault="00172E79" w:rsidP="00172E79">
      <w:pPr>
        <w:shd w:val="clear" w:color="auto" w:fill="FFFFFF"/>
        <w:ind w:left="851" w:right="851"/>
        <w:jc w:val="both"/>
        <w:rPr>
          <w:rFonts w:cs="Arial"/>
          <w:i/>
          <w:iCs/>
          <w:sz w:val="20"/>
          <w:szCs w:val="22"/>
          <w:lang w:bidi="ar-SA"/>
        </w:rPr>
      </w:pPr>
    </w:p>
    <w:p w:rsidR="00172E79" w:rsidRPr="00215B69" w:rsidRDefault="00172E79" w:rsidP="00172E79">
      <w:pPr>
        <w:shd w:val="clear" w:color="auto" w:fill="FFFFFF"/>
        <w:ind w:left="851" w:right="851"/>
        <w:jc w:val="both"/>
        <w:rPr>
          <w:rFonts w:cs="Arial"/>
          <w:i/>
          <w:iCs/>
          <w:sz w:val="20"/>
          <w:szCs w:val="22"/>
          <w:lang w:bidi="ar-SA"/>
        </w:rPr>
      </w:pPr>
      <w:r w:rsidRPr="00215B69">
        <w:rPr>
          <w:rFonts w:cs="Arial"/>
          <w:i/>
          <w:iCs/>
          <w:sz w:val="20"/>
          <w:szCs w:val="22"/>
          <w:lang w:bidi="ar-SA"/>
        </w:rPr>
        <w:t>Cuando se trate de un hecho o conducta continuada, este término se contará desde el día siguiente a aquel en que cesó la infracción y/o la ejecución.</w:t>
      </w:r>
    </w:p>
    <w:p w:rsidR="00172E79" w:rsidRPr="00215B69" w:rsidRDefault="00172E79" w:rsidP="00172E79">
      <w:pPr>
        <w:shd w:val="clear" w:color="auto" w:fill="FFFFFF"/>
        <w:ind w:left="851" w:right="851"/>
        <w:jc w:val="both"/>
        <w:rPr>
          <w:rFonts w:cs="Arial"/>
          <w:i/>
          <w:iCs/>
          <w:sz w:val="20"/>
          <w:szCs w:val="22"/>
          <w:lang w:bidi="ar-SA"/>
        </w:rPr>
      </w:pPr>
    </w:p>
    <w:p w:rsidR="00172E79" w:rsidRPr="00215B69" w:rsidRDefault="00172E79" w:rsidP="00B26732">
      <w:pPr>
        <w:shd w:val="clear" w:color="auto" w:fill="FFFFFF"/>
        <w:ind w:left="851" w:right="851"/>
        <w:jc w:val="both"/>
        <w:rPr>
          <w:rFonts w:cs="Arial"/>
          <w:iCs/>
          <w:sz w:val="20"/>
          <w:szCs w:val="22"/>
          <w:lang w:bidi="ar-SA"/>
        </w:rPr>
      </w:pPr>
      <w:r w:rsidRPr="00215B69">
        <w:rPr>
          <w:rFonts w:cs="Arial"/>
          <w:i/>
          <w:iCs/>
          <w:sz w:val="20"/>
          <w:szCs w:val="22"/>
          <w:lang w:bidi="ar-SA"/>
        </w:rPr>
        <w:t>La sanción decretada por acto administrativo prescribirá al cabo de cinco (5) años contados a partir de la fecha de la ejecutoria.</w:t>
      </w:r>
      <w:r w:rsidRPr="00215B69">
        <w:rPr>
          <w:rFonts w:cs="Arial"/>
          <w:iCs/>
          <w:sz w:val="20"/>
          <w:szCs w:val="22"/>
          <w:lang w:bidi="ar-SA"/>
        </w:rPr>
        <w:t xml:space="preserve"> (subrayas y negrilla fuera de texto).</w:t>
      </w:r>
      <w:r w:rsidR="00B26732" w:rsidRPr="00215B69">
        <w:rPr>
          <w:rFonts w:cs="Arial"/>
          <w:iCs/>
          <w:sz w:val="20"/>
          <w:szCs w:val="22"/>
          <w:lang w:bidi="ar-SA"/>
        </w:rPr>
        <w:t xml:space="preserve"> </w:t>
      </w:r>
      <w:r w:rsidRPr="00215B69">
        <w:rPr>
          <w:rFonts w:cs="Arial"/>
          <w:i/>
          <w:iCs/>
          <w:sz w:val="20"/>
          <w:szCs w:val="22"/>
          <w:lang w:bidi="ar-SA"/>
        </w:rPr>
        <w:t>(…</w:t>
      </w:r>
      <w:r w:rsidRPr="00215B69">
        <w:rPr>
          <w:rFonts w:cs="Arial"/>
          <w:iCs/>
          <w:sz w:val="20"/>
          <w:szCs w:val="22"/>
          <w:lang w:bidi="ar-SA"/>
        </w:rPr>
        <w:t>)</w:t>
      </w:r>
    </w:p>
    <w:p w:rsidR="00172E79" w:rsidRPr="00215B69" w:rsidRDefault="00172E79" w:rsidP="00172E79">
      <w:pPr>
        <w:shd w:val="clear" w:color="auto" w:fill="FFFFFF"/>
        <w:ind w:left="708"/>
        <w:jc w:val="both"/>
        <w:rPr>
          <w:rFonts w:cs="Arial"/>
          <w:iCs/>
          <w:sz w:val="22"/>
          <w:szCs w:val="22"/>
          <w:lang w:bidi="ar-SA"/>
        </w:rPr>
      </w:pPr>
    </w:p>
    <w:p w:rsidR="00172E79" w:rsidRPr="00215B69" w:rsidRDefault="00172E79" w:rsidP="00172E79">
      <w:pPr>
        <w:shd w:val="clear" w:color="auto" w:fill="FFFFFF"/>
        <w:jc w:val="both"/>
        <w:rPr>
          <w:rFonts w:cs="Arial"/>
          <w:sz w:val="22"/>
          <w:szCs w:val="22"/>
          <w:lang w:bidi="ar-SA"/>
        </w:rPr>
      </w:pPr>
      <w:r w:rsidRPr="00215B69">
        <w:rPr>
          <w:rFonts w:cs="Arial"/>
          <w:sz w:val="22"/>
          <w:szCs w:val="22"/>
          <w:lang w:bidi="ar-SA"/>
        </w:rPr>
        <w:t xml:space="preserve">Como se indicó en precedencia, cuando la administración no resuelve los recursos impetrados contra los actos administrativos de carácter sancionatorio dentro de los precisos términos de ley, pierde competencia para su resolución y estos se entienden fallados a favor del recurrente, por lo que únicamente procede la decisión de archivo de las diligencias.  </w:t>
      </w:r>
    </w:p>
    <w:p w:rsidR="00172E79" w:rsidRPr="00215B69" w:rsidRDefault="00172E79" w:rsidP="00172E79">
      <w:pPr>
        <w:shd w:val="clear" w:color="auto" w:fill="FFFFFF"/>
        <w:jc w:val="both"/>
        <w:rPr>
          <w:rFonts w:cs="Arial"/>
          <w:sz w:val="22"/>
          <w:szCs w:val="22"/>
          <w:lang w:bidi="ar-SA"/>
        </w:rPr>
      </w:pPr>
    </w:p>
    <w:p w:rsidR="00172E79" w:rsidRPr="00215B69" w:rsidRDefault="00172E79" w:rsidP="00172E79">
      <w:pPr>
        <w:jc w:val="both"/>
        <w:rPr>
          <w:rFonts w:cs="Arial"/>
          <w:sz w:val="22"/>
          <w:szCs w:val="22"/>
        </w:rPr>
      </w:pPr>
      <w:r w:rsidRPr="00215B69">
        <w:rPr>
          <w:rFonts w:cs="Arial"/>
          <w:sz w:val="22"/>
          <w:szCs w:val="22"/>
          <w:lang w:bidi="ar-SA"/>
        </w:rPr>
        <w:t>Entonces, se torna necesario que la Administración en aras de la prevalencia de los derechos sustanciales y procesales del investigado, sustentar lo aquí referido en el artículo 29 de la Carta Política, cuando a su tenor literal</w:t>
      </w:r>
      <w:r w:rsidRPr="00215B69">
        <w:rPr>
          <w:rFonts w:cs="Arial"/>
          <w:sz w:val="22"/>
          <w:szCs w:val="22"/>
        </w:rPr>
        <w:t xml:space="preserve"> establece: “</w:t>
      </w:r>
      <w:r w:rsidRPr="00215B69">
        <w:rPr>
          <w:rFonts w:cs="Arial"/>
          <w:b/>
          <w:bCs/>
          <w:i/>
          <w:sz w:val="22"/>
          <w:szCs w:val="22"/>
        </w:rPr>
        <w:t>El debido proceso se aplicará a toda clase de actuaciones judiciales y administrativas. Nadie podrá ser juzgado sino conforme a leyes preexistentes al acto que se le imputa, ante juez o tribunal competente y con observancia de la plenitud de las formas propias de cada juicio. (…)</w:t>
      </w:r>
      <w:r w:rsidRPr="00215B69">
        <w:rPr>
          <w:rFonts w:cs="Arial"/>
          <w:b/>
          <w:bCs/>
          <w:sz w:val="22"/>
          <w:szCs w:val="22"/>
        </w:rPr>
        <w:t>”.</w:t>
      </w:r>
      <w:r w:rsidRPr="00215B69">
        <w:rPr>
          <w:rFonts w:cs="Arial"/>
          <w:sz w:val="22"/>
          <w:szCs w:val="22"/>
        </w:rPr>
        <w:t xml:space="preserve"> </w:t>
      </w:r>
    </w:p>
    <w:p w:rsidR="00172E79" w:rsidRPr="00215B69" w:rsidRDefault="00172E79" w:rsidP="00172E79">
      <w:pPr>
        <w:jc w:val="both"/>
        <w:rPr>
          <w:rFonts w:cs="Arial"/>
          <w:sz w:val="22"/>
          <w:szCs w:val="22"/>
        </w:rPr>
      </w:pPr>
    </w:p>
    <w:p w:rsidR="00172E79" w:rsidRPr="00215B69" w:rsidRDefault="00172E79" w:rsidP="00172E79">
      <w:pPr>
        <w:jc w:val="both"/>
        <w:rPr>
          <w:rFonts w:cs="Arial"/>
          <w:i/>
          <w:sz w:val="22"/>
          <w:szCs w:val="22"/>
        </w:rPr>
      </w:pPr>
      <w:r w:rsidRPr="00215B69">
        <w:rPr>
          <w:rFonts w:cs="Arial"/>
          <w:sz w:val="22"/>
          <w:szCs w:val="22"/>
        </w:rPr>
        <w:t xml:space="preserve">Al respecto, la Honorable Corte Constitucional, en sentencia </w:t>
      </w:r>
      <w:r w:rsidRPr="00215B69">
        <w:rPr>
          <w:rFonts w:cs="Arial"/>
          <w:i/>
          <w:sz w:val="22"/>
          <w:szCs w:val="22"/>
        </w:rPr>
        <w:t xml:space="preserve">C – 713 de 2012, con ponencia del Magistrado ALFREDO BELTRÁN SIERRA, precisó: </w:t>
      </w:r>
      <w:r w:rsidR="00936B6E">
        <w:rPr>
          <w:rFonts w:cs="Arial"/>
          <w:i/>
          <w:sz w:val="22"/>
          <w:szCs w:val="22"/>
        </w:rPr>
        <w:t xml:space="preserve"> </w:t>
      </w:r>
      <w:bookmarkStart w:id="2" w:name="_GoBack"/>
      <w:bookmarkEnd w:id="2"/>
    </w:p>
    <w:p w:rsidR="00172E79" w:rsidRPr="00215B69" w:rsidRDefault="00172E79" w:rsidP="00172E79">
      <w:pPr>
        <w:jc w:val="both"/>
        <w:rPr>
          <w:rFonts w:cs="Arial"/>
          <w:i/>
          <w:sz w:val="22"/>
          <w:szCs w:val="22"/>
        </w:rPr>
      </w:pPr>
    </w:p>
    <w:p w:rsidR="00172E79" w:rsidRPr="00215B69" w:rsidRDefault="00172E79" w:rsidP="00172E79">
      <w:pPr>
        <w:ind w:left="851" w:right="851"/>
        <w:jc w:val="both"/>
        <w:rPr>
          <w:rFonts w:cs="Arial"/>
          <w:i/>
          <w:sz w:val="20"/>
          <w:szCs w:val="22"/>
        </w:rPr>
      </w:pPr>
      <w:r w:rsidRPr="00215B69">
        <w:rPr>
          <w:rFonts w:cs="Arial"/>
          <w:i/>
          <w:sz w:val="20"/>
          <w:szCs w:val="22"/>
        </w:rPr>
        <w:t>(…) “</w:t>
      </w:r>
      <w:r w:rsidRPr="00215B69">
        <w:rPr>
          <w:rFonts w:cs="Arial"/>
          <w:b/>
          <w:bCs/>
          <w:i/>
          <w:sz w:val="20"/>
          <w:szCs w:val="22"/>
        </w:rPr>
        <w:t>el artículo 29 constitucional dispone que el debido proceso “se aplicará a toda clase de actuaciones judiciales y administrativas”,</w:t>
      </w:r>
      <w:r w:rsidRPr="00215B69">
        <w:rPr>
          <w:rFonts w:cs="Arial"/>
          <w:i/>
          <w:sz w:val="20"/>
          <w:szCs w:val="22"/>
        </w:rPr>
        <w:t xml:space="preserve"> (negrilla fuera de texto), constituyéndose en la regulación jurídica previa que limita los poderes del Estado y garantiza la protección de los derechos de los administrados, de manera que ninguna de las actuaciones de la autoridad pública dependa de su propio arbitrio, sino se encuentre sometida a los procedimientos establecidos en la ley. </w:t>
      </w:r>
    </w:p>
    <w:p w:rsidR="00172E79" w:rsidRPr="00215B69" w:rsidRDefault="00172E79" w:rsidP="00172E79">
      <w:pPr>
        <w:ind w:left="851" w:right="851"/>
        <w:jc w:val="both"/>
        <w:rPr>
          <w:rFonts w:cs="Arial"/>
          <w:i/>
          <w:sz w:val="20"/>
          <w:szCs w:val="22"/>
        </w:rPr>
      </w:pPr>
    </w:p>
    <w:p w:rsidR="00172E79" w:rsidRPr="00215B69" w:rsidRDefault="00172E79" w:rsidP="00172E79">
      <w:pPr>
        <w:ind w:left="851" w:right="851"/>
        <w:jc w:val="both"/>
        <w:rPr>
          <w:rFonts w:cs="Arial"/>
          <w:bCs/>
          <w:i/>
          <w:sz w:val="20"/>
          <w:szCs w:val="22"/>
        </w:rPr>
      </w:pPr>
      <w:r w:rsidRPr="00215B69">
        <w:rPr>
          <w:rFonts w:cs="Arial"/>
          <w:i/>
          <w:sz w:val="20"/>
          <w:szCs w:val="22"/>
        </w:rPr>
        <w:t xml:space="preserve">Por su parte, el inciso 2º del artículo 29 de la Constitución Política, prescribe que: “nadie podrá ser juzgado sino conforme a leyes preexistentes al acto que se le imputa, ante juez o tribunal competente y con observancia de la plenitud de las formas propias de cada juicio”, todo ello, con el fin de garantizar el debido proceso, dentro del cual se reconoce como pilar fundamental el </w:t>
      </w:r>
      <w:r w:rsidRPr="00215B69">
        <w:rPr>
          <w:rFonts w:cs="Arial"/>
          <w:bCs/>
          <w:i/>
          <w:sz w:val="20"/>
          <w:szCs w:val="22"/>
        </w:rPr>
        <w:t>principio de legalidad.</w:t>
      </w:r>
    </w:p>
    <w:p w:rsidR="00172E79" w:rsidRPr="00215B69" w:rsidRDefault="00172E79" w:rsidP="00172E79">
      <w:pPr>
        <w:ind w:left="851" w:right="851"/>
        <w:jc w:val="both"/>
        <w:rPr>
          <w:rFonts w:cs="Arial"/>
          <w:b/>
          <w:bCs/>
          <w:i/>
          <w:sz w:val="20"/>
          <w:szCs w:val="22"/>
        </w:rPr>
      </w:pPr>
      <w:r w:rsidRPr="00215B69">
        <w:rPr>
          <w:rFonts w:cs="Arial"/>
          <w:b/>
          <w:bCs/>
          <w:i/>
          <w:sz w:val="20"/>
          <w:szCs w:val="22"/>
        </w:rPr>
        <w:t xml:space="preserve"> </w:t>
      </w:r>
    </w:p>
    <w:p w:rsidR="00172E79" w:rsidRPr="00215B69" w:rsidRDefault="00172E79" w:rsidP="00172E79">
      <w:pPr>
        <w:ind w:left="851" w:right="851"/>
        <w:jc w:val="both"/>
        <w:rPr>
          <w:rFonts w:cs="Arial"/>
          <w:i/>
          <w:sz w:val="20"/>
          <w:szCs w:val="22"/>
        </w:rPr>
      </w:pPr>
      <w:r w:rsidRPr="00215B69">
        <w:rPr>
          <w:rFonts w:cs="Arial"/>
          <w:i/>
          <w:sz w:val="20"/>
          <w:szCs w:val="22"/>
        </w:rPr>
        <w:t xml:space="preserve">Esta Corporación ha señalado que el principio de </w:t>
      </w:r>
      <w:r w:rsidRPr="00215B69">
        <w:rPr>
          <w:rFonts w:cs="Arial"/>
          <w:b/>
          <w:bCs/>
          <w:i/>
          <w:sz w:val="20"/>
          <w:szCs w:val="22"/>
        </w:rPr>
        <w:t>legalidad</w:t>
      </w:r>
      <w:r w:rsidRPr="00215B69">
        <w:rPr>
          <w:rFonts w:cs="Arial"/>
          <w:i/>
          <w:sz w:val="20"/>
          <w:szCs w:val="22"/>
        </w:rPr>
        <w:t xml:space="preserve"> exige: “(i) que el señalamiento de la sanción sea hecho directamente por el legislador; (ii) que éste señalamiento sea previo al momento de comisión del ilícito y también al acto que determina la imposición de la sanción; (iii) que la sanción se determine no solo previamente, sino también plenamente, es decir que sea determinada y no determinable” y tiene como finalidad proteger la libertad individual, controlar la arbitrariedad judicial, asegurar la igualdad de todas las personas ante el poder punitivo estatal y en su materialización participan, los principios de reserva de ley y de tipicidad. (…) Por su parte, el principio de </w:t>
      </w:r>
      <w:r w:rsidRPr="00215B69">
        <w:rPr>
          <w:rFonts w:cs="Arial"/>
          <w:b/>
          <w:bCs/>
          <w:i/>
          <w:sz w:val="20"/>
          <w:szCs w:val="22"/>
        </w:rPr>
        <w:t xml:space="preserve">tipicidad </w:t>
      </w:r>
      <w:r w:rsidRPr="00215B69">
        <w:rPr>
          <w:rFonts w:cs="Arial"/>
          <w:i/>
          <w:sz w:val="20"/>
          <w:szCs w:val="22"/>
        </w:rPr>
        <w:t xml:space="preserve">se concreta a través de la descripción completa, clara e inequívoca del precepto - la orden de observar un determinado </w:t>
      </w:r>
      <w:r w:rsidRPr="00215B69">
        <w:rPr>
          <w:rFonts w:cs="Arial"/>
          <w:i/>
          <w:sz w:val="20"/>
          <w:szCs w:val="22"/>
        </w:rPr>
        <w:lastRenderedPageBreak/>
        <w:t>comportamiento, es decir de no realizar algo o de cumplir determinada acción - y de la sanción - la consecuencia jurídica que debe seguir a la infracción del precepto y busca que la descripción que haga el legislador sea de tal claridad que permita que sus destinatarios conozcan exactamente las conductas reprochables, evitando de esta forma que la decisión sobre la consecuencia jurídica de su infracción, pueda ser subjetiva o arbitraria”.</w:t>
      </w:r>
    </w:p>
    <w:p w:rsidR="00172E79" w:rsidRPr="00215B69" w:rsidRDefault="00172E79" w:rsidP="00172E79">
      <w:pPr>
        <w:jc w:val="both"/>
        <w:rPr>
          <w:rFonts w:cs="Arial"/>
          <w:sz w:val="22"/>
          <w:szCs w:val="22"/>
        </w:rPr>
      </w:pPr>
    </w:p>
    <w:p w:rsidR="00172E79" w:rsidRPr="00215B69" w:rsidRDefault="00172E79" w:rsidP="00172E79">
      <w:pPr>
        <w:autoSpaceDE w:val="0"/>
        <w:autoSpaceDN w:val="0"/>
        <w:adjustRightInd w:val="0"/>
        <w:jc w:val="both"/>
        <w:rPr>
          <w:rFonts w:cs="Arial"/>
          <w:sz w:val="22"/>
          <w:szCs w:val="22"/>
        </w:rPr>
      </w:pPr>
      <w:r w:rsidRPr="00215B69">
        <w:rPr>
          <w:rFonts w:cs="Arial"/>
          <w:sz w:val="22"/>
          <w:szCs w:val="22"/>
        </w:rPr>
        <w:t xml:space="preserve">Ahora, entre los elementos más importantes del debido proceso, la Corte Constitucional ha destacado: </w:t>
      </w:r>
      <w:r w:rsidRPr="00215B69">
        <w:rPr>
          <w:rFonts w:cs="Arial"/>
          <w:i/>
          <w:iCs/>
          <w:sz w:val="22"/>
          <w:szCs w:val="22"/>
        </w:rPr>
        <w:t xml:space="preserve">"(…) (i) </w:t>
      </w:r>
      <w:r w:rsidRPr="00215B69">
        <w:rPr>
          <w:rFonts w:cs="Arial"/>
          <w:bCs/>
          <w:i/>
          <w:iCs/>
          <w:sz w:val="22"/>
          <w:szCs w:val="22"/>
        </w:rPr>
        <w:t>el derecho a conocer el inicio de la actuación</w:t>
      </w:r>
      <w:r w:rsidRPr="00215B69">
        <w:rPr>
          <w:rFonts w:cs="Arial"/>
          <w:i/>
          <w:iCs/>
          <w:sz w:val="22"/>
          <w:szCs w:val="22"/>
        </w:rPr>
        <w:t xml:space="preserve">: (ii). a ser oído durante el trámite (iii) </w:t>
      </w:r>
      <w:r w:rsidRPr="00215B69">
        <w:rPr>
          <w:rFonts w:cs="Arial"/>
          <w:bCs/>
          <w:i/>
          <w:iCs/>
          <w:sz w:val="22"/>
          <w:szCs w:val="22"/>
        </w:rPr>
        <w:t>a ser notificado en debida forma</w:t>
      </w:r>
      <w:r w:rsidRPr="00215B69">
        <w:rPr>
          <w:rFonts w:cs="Arial"/>
          <w:i/>
          <w:iCs/>
          <w:sz w:val="22"/>
          <w:szCs w:val="22"/>
        </w:rPr>
        <w:t xml:space="preserve">; (iv) a que se adelante por la autoridad competente y </w:t>
      </w:r>
      <w:r w:rsidRPr="00215B69">
        <w:rPr>
          <w:rFonts w:cs="Arial"/>
          <w:b/>
          <w:bCs/>
          <w:i/>
          <w:iCs/>
          <w:sz w:val="22"/>
          <w:szCs w:val="22"/>
        </w:rPr>
        <w:t>con pleno respeto de las formas propias de cada juicio definidas por el legislador;</w:t>
      </w:r>
      <w:r w:rsidRPr="00215B69">
        <w:rPr>
          <w:rFonts w:cs="Arial"/>
          <w:i/>
          <w:iCs/>
          <w:sz w:val="22"/>
          <w:szCs w:val="22"/>
        </w:rPr>
        <w:t xml:space="preserve"> (v) a que no se presenten” dilaciones injustificadas; (vii) a gozar de la presunción de inocencia, (vil) a ejercer derechos de defensa y contradicción, (ix) a presentar pruebas y a controvertir las que alleguen por la parte contraria, (x) </w:t>
      </w:r>
      <w:r w:rsidRPr="00215B69">
        <w:rPr>
          <w:rFonts w:cs="Arial"/>
          <w:b/>
          <w:bCs/>
          <w:i/>
          <w:iCs/>
          <w:sz w:val="22"/>
          <w:szCs w:val="22"/>
        </w:rPr>
        <w:t>a que se resuelva en forma motivada</w:t>
      </w:r>
      <w:r w:rsidRPr="00215B69">
        <w:rPr>
          <w:rFonts w:cs="Arial"/>
          <w:i/>
          <w:iCs/>
          <w:sz w:val="22"/>
          <w:szCs w:val="22"/>
        </w:rPr>
        <w:t>, (xi) a impugnar la decisión que se adopte y a (xii). Promover la nulidad de los actos administrativos que se expidan con vulneración: al debido proceso</w:t>
      </w:r>
      <w:r w:rsidRPr="00215B69">
        <w:rPr>
          <w:rFonts w:cs="Arial"/>
          <w:sz w:val="22"/>
          <w:szCs w:val="22"/>
        </w:rPr>
        <w:t xml:space="preserve">" (Sentencia C- 248 de 2013) (Negrillas por fuera del texto original). </w:t>
      </w:r>
    </w:p>
    <w:p w:rsidR="00172E79" w:rsidRPr="00215B69" w:rsidRDefault="00172E79" w:rsidP="00172E79">
      <w:pPr>
        <w:autoSpaceDE w:val="0"/>
        <w:autoSpaceDN w:val="0"/>
        <w:adjustRightInd w:val="0"/>
        <w:jc w:val="both"/>
        <w:rPr>
          <w:rFonts w:cs="Arial"/>
          <w:sz w:val="22"/>
          <w:szCs w:val="22"/>
        </w:rPr>
      </w:pPr>
    </w:p>
    <w:p w:rsidR="00172E79" w:rsidRPr="00215B69" w:rsidRDefault="00172E79" w:rsidP="00172E79">
      <w:pPr>
        <w:autoSpaceDE w:val="0"/>
        <w:autoSpaceDN w:val="0"/>
        <w:adjustRightInd w:val="0"/>
        <w:jc w:val="both"/>
        <w:rPr>
          <w:rFonts w:cs="Arial"/>
          <w:sz w:val="22"/>
          <w:szCs w:val="22"/>
        </w:rPr>
      </w:pPr>
      <w:r w:rsidRPr="00215B69">
        <w:rPr>
          <w:rFonts w:cs="Arial"/>
          <w:sz w:val="22"/>
          <w:szCs w:val="22"/>
        </w:rPr>
        <w:t xml:space="preserve">Ante dicho suceso y más aún ante una presunción de derecho, ante la cual nos encontramos como lo es la consecuencia que denota el comentado artículo 52 de la Ley 1437 de 2011, tal y como lo representa para el investigado el hecho de entender la resolución de sus recursos a su favor por la no emisión de acto administrativo alguno que se pronunciare sobre ellos dentro del término legal; es que esta Entidad debe de forma rigurosa dar prevalencia a las prerrogativas que la Norma Superior y la Ley aplicable consignan a favor del investigado (las cuales hacen parte de su cúmulo de derechos) es por ello que corresponde a la Administración, sin verificar los argumentos de los recursos y el procedimiento para adoptar las decisiones en primera instancia, declarar el acto administrativo recurrido sin efectos jurídicos, por consiguiente, ordenar la terminación del proceso (investigación administrativa No. </w:t>
      </w:r>
      <w:r w:rsidR="00B26732" w:rsidRPr="00215B69">
        <w:rPr>
          <w:rFonts w:cs="Arial"/>
          <w:sz w:val="22"/>
          <w:szCs w:val="22"/>
        </w:rPr>
        <w:t>10709-2018</w:t>
      </w:r>
      <w:r w:rsidRPr="00215B69">
        <w:rPr>
          <w:rFonts w:cs="Arial"/>
          <w:sz w:val="22"/>
          <w:szCs w:val="22"/>
        </w:rPr>
        <w:t xml:space="preserve">) y en últimas el archivo de las diligencias. </w:t>
      </w:r>
      <w:r w:rsidR="00B26732" w:rsidRPr="00215B69">
        <w:rPr>
          <w:rFonts w:cs="Arial"/>
          <w:sz w:val="22"/>
          <w:szCs w:val="22"/>
        </w:rPr>
        <w:t xml:space="preserve"> </w:t>
      </w:r>
      <w:r w:rsidR="00215B69" w:rsidRPr="00215B69">
        <w:rPr>
          <w:rFonts w:cs="Arial"/>
          <w:sz w:val="22"/>
          <w:szCs w:val="22"/>
        </w:rPr>
        <w:t xml:space="preserve"> </w:t>
      </w:r>
    </w:p>
    <w:p w:rsidR="00172E79" w:rsidRPr="00215B69" w:rsidRDefault="00172E79" w:rsidP="00172E79">
      <w:pPr>
        <w:shd w:val="clear" w:color="auto" w:fill="FFFFFF"/>
        <w:jc w:val="both"/>
        <w:rPr>
          <w:rFonts w:cs="Arial"/>
          <w:sz w:val="22"/>
          <w:szCs w:val="22"/>
        </w:rPr>
      </w:pPr>
    </w:p>
    <w:p w:rsidR="00172E79" w:rsidRPr="00215B69" w:rsidRDefault="00172E79" w:rsidP="00172E79">
      <w:pPr>
        <w:shd w:val="clear" w:color="auto" w:fill="FFFFFF"/>
        <w:jc w:val="both"/>
        <w:rPr>
          <w:rFonts w:cs="Arial"/>
          <w:sz w:val="22"/>
          <w:szCs w:val="22"/>
          <w:lang w:bidi="ar-SA"/>
        </w:rPr>
      </w:pPr>
      <w:r w:rsidRPr="00215B69">
        <w:rPr>
          <w:rFonts w:cs="Arial"/>
          <w:sz w:val="22"/>
          <w:szCs w:val="22"/>
          <w:lang w:bidi="ar-SA"/>
        </w:rPr>
        <w:t xml:space="preserve">Siendo así las cosas y en razón a la perentoriedad del referido término de corte legal la administración contaba con plazo de un (1) año para fallar la impugnación instaurada el </w:t>
      </w:r>
      <w:r w:rsidR="00215B69" w:rsidRPr="00215B69">
        <w:rPr>
          <w:rFonts w:cs="Arial"/>
          <w:sz w:val="22"/>
          <w:szCs w:val="22"/>
        </w:rPr>
        <w:t>21 de enero de 2022</w:t>
      </w:r>
      <w:r w:rsidRPr="00215B69">
        <w:rPr>
          <w:rFonts w:cs="Arial"/>
          <w:sz w:val="22"/>
          <w:szCs w:val="22"/>
        </w:rPr>
        <w:t xml:space="preserve"> </w:t>
      </w:r>
      <w:r w:rsidRPr="00215B69">
        <w:rPr>
          <w:rFonts w:cs="Arial"/>
          <w:sz w:val="22"/>
          <w:szCs w:val="22"/>
          <w:lang w:bidi="ar-SA"/>
        </w:rPr>
        <w:t>por el investigado, lo cual no se desarrolló durante el término previsto</w:t>
      </w:r>
    </w:p>
    <w:p w:rsidR="00172E79" w:rsidRPr="00215B69" w:rsidRDefault="00172E79" w:rsidP="00172E79">
      <w:pPr>
        <w:shd w:val="clear" w:color="auto" w:fill="FFFFFF"/>
        <w:jc w:val="both"/>
        <w:rPr>
          <w:rFonts w:cs="Arial"/>
          <w:color w:val="C00000"/>
          <w:sz w:val="22"/>
          <w:szCs w:val="22"/>
          <w:lang w:bidi="ar-SA"/>
        </w:rPr>
      </w:pPr>
    </w:p>
    <w:p w:rsidR="00172E79" w:rsidRPr="00215B69" w:rsidRDefault="00172E79" w:rsidP="00172E79">
      <w:pPr>
        <w:shd w:val="clear" w:color="auto" w:fill="FFFFFF"/>
        <w:jc w:val="both"/>
        <w:rPr>
          <w:rFonts w:cs="Arial"/>
          <w:sz w:val="22"/>
          <w:szCs w:val="22"/>
        </w:rPr>
      </w:pPr>
      <w:r w:rsidRPr="00215B69">
        <w:rPr>
          <w:rFonts w:cs="Arial"/>
          <w:sz w:val="22"/>
          <w:szCs w:val="22"/>
        </w:rPr>
        <w:t xml:space="preserve">Lo anterior equivale a decir que la sanción impuesta en el acto administrativo que sobre el particular se pronunció queda sin efectos y bajo ninguna forma puede materializarse, </w:t>
      </w:r>
      <w:r w:rsidRPr="00215B69">
        <w:rPr>
          <w:rFonts w:cs="Arial"/>
          <w:b/>
          <w:bCs/>
          <w:sz w:val="22"/>
          <w:szCs w:val="22"/>
        </w:rPr>
        <w:t>toda vez que en razón a la argumentación aquí aludida los recursos impetrados por el investigado se entienden “</w:t>
      </w:r>
      <w:r w:rsidRPr="00215B69">
        <w:rPr>
          <w:rFonts w:cs="Arial"/>
          <w:b/>
          <w:bCs/>
          <w:i/>
          <w:iCs/>
          <w:sz w:val="22"/>
          <w:szCs w:val="22"/>
        </w:rPr>
        <w:t>ipso facto”</w:t>
      </w:r>
      <w:r w:rsidRPr="00215B69">
        <w:rPr>
          <w:rFonts w:cs="Arial"/>
          <w:b/>
          <w:bCs/>
          <w:sz w:val="22"/>
          <w:szCs w:val="22"/>
        </w:rPr>
        <w:t xml:space="preserve"> fallados a su favor,</w:t>
      </w:r>
      <w:r w:rsidRPr="00215B69">
        <w:rPr>
          <w:rFonts w:cs="Arial"/>
          <w:sz w:val="22"/>
          <w:szCs w:val="22"/>
        </w:rPr>
        <w:t xml:space="preserve"> pues no puede esta instancia, desconocer las etapas procesales y la perentoriedad de los términos, previamente definidas por el legislador; en concreto las estipuladas por la Ley 1437 de 2011 (artículo 52) las cuales son de obligatoria y estricta aplicación, en este caso el termino procesal para fallar los recursos.</w:t>
      </w:r>
    </w:p>
    <w:p w:rsidR="00172E79" w:rsidRPr="00215B69" w:rsidRDefault="00172E79" w:rsidP="00172E79">
      <w:pPr>
        <w:shd w:val="clear" w:color="auto" w:fill="FFFFFF"/>
        <w:jc w:val="both"/>
        <w:rPr>
          <w:rFonts w:cs="Arial"/>
          <w:sz w:val="22"/>
          <w:szCs w:val="22"/>
        </w:rPr>
      </w:pPr>
      <w:r w:rsidRPr="00215B69">
        <w:rPr>
          <w:rFonts w:cs="Arial"/>
          <w:sz w:val="22"/>
          <w:szCs w:val="22"/>
        </w:rPr>
        <w:t xml:space="preserve"> </w:t>
      </w:r>
    </w:p>
    <w:p w:rsidR="00172E79" w:rsidRPr="00215B69" w:rsidRDefault="00172E79" w:rsidP="00172E79">
      <w:pPr>
        <w:pStyle w:val="Default"/>
        <w:jc w:val="both"/>
        <w:rPr>
          <w:color w:val="auto"/>
          <w:sz w:val="22"/>
          <w:szCs w:val="22"/>
          <w:lang w:val="es-CO"/>
        </w:rPr>
      </w:pPr>
      <w:r w:rsidRPr="00215B69">
        <w:rPr>
          <w:color w:val="auto"/>
          <w:sz w:val="22"/>
          <w:szCs w:val="22"/>
          <w:lang w:val="es-CO"/>
        </w:rPr>
        <w:t xml:space="preserve">Dicho lo anterior se encuentra que en el presente caso procede LA PERDIDA DE COMPETENCIA para decidir el recurso de apelación y en consecuencia debe terminarse la investigación administrativa y realizarse el archivo de las diligencias. </w:t>
      </w:r>
    </w:p>
    <w:p w:rsidR="00172E79" w:rsidRPr="00215B69" w:rsidRDefault="00172E79" w:rsidP="00172E79">
      <w:pPr>
        <w:jc w:val="both"/>
        <w:rPr>
          <w:rFonts w:cs="Arial"/>
          <w:sz w:val="22"/>
          <w:szCs w:val="22"/>
        </w:rPr>
      </w:pPr>
    </w:p>
    <w:p w:rsidR="00172E79" w:rsidRPr="00215B69" w:rsidRDefault="00172E79" w:rsidP="00172E79">
      <w:pPr>
        <w:spacing w:after="236"/>
        <w:jc w:val="both"/>
        <w:rPr>
          <w:rFonts w:cs="Arial"/>
          <w:sz w:val="22"/>
          <w:szCs w:val="22"/>
        </w:rPr>
      </w:pPr>
      <w:r w:rsidRPr="00215B69">
        <w:rPr>
          <w:rFonts w:cs="Arial"/>
          <w:sz w:val="22"/>
          <w:szCs w:val="22"/>
        </w:rPr>
        <w:t>En mérito de Io expuesto, este Despacho;</w:t>
      </w:r>
    </w:p>
    <w:p w:rsidR="00172E79" w:rsidRPr="00215B69" w:rsidRDefault="00172E79" w:rsidP="00172E79">
      <w:pPr>
        <w:jc w:val="center"/>
        <w:rPr>
          <w:rFonts w:cs="Arial"/>
          <w:b/>
          <w:bCs/>
          <w:sz w:val="22"/>
          <w:szCs w:val="22"/>
        </w:rPr>
      </w:pPr>
      <w:r w:rsidRPr="00215B69">
        <w:rPr>
          <w:rFonts w:cs="Arial"/>
          <w:b/>
          <w:bCs/>
          <w:sz w:val="22"/>
          <w:szCs w:val="22"/>
        </w:rPr>
        <w:lastRenderedPageBreak/>
        <w:t>RESUELVE:</w:t>
      </w:r>
    </w:p>
    <w:p w:rsidR="00172E79" w:rsidRPr="00215B69" w:rsidRDefault="00172E79" w:rsidP="00172E79">
      <w:pPr>
        <w:jc w:val="both"/>
        <w:rPr>
          <w:rFonts w:cs="Arial"/>
          <w:sz w:val="22"/>
          <w:szCs w:val="22"/>
        </w:rPr>
      </w:pPr>
    </w:p>
    <w:p w:rsidR="00172E79" w:rsidRPr="00215B69" w:rsidRDefault="00172E79" w:rsidP="00172E79">
      <w:pPr>
        <w:jc w:val="both"/>
        <w:rPr>
          <w:rFonts w:cs="Arial"/>
          <w:sz w:val="22"/>
          <w:szCs w:val="22"/>
        </w:rPr>
      </w:pPr>
      <w:r w:rsidRPr="00215B69">
        <w:rPr>
          <w:rFonts w:cs="Arial"/>
          <w:b/>
          <w:bCs/>
          <w:sz w:val="22"/>
          <w:szCs w:val="22"/>
        </w:rPr>
        <w:t>ARTÍCULO PRIMERO:</w:t>
      </w:r>
      <w:r w:rsidRPr="00215B69">
        <w:rPr>
          <w:rFonts w:cs="Arial"/>
          <w:sz w:val="22"/>
          <w:szCs w:val="22"/>
        </w:rPr>
        <w:t xml:space="preserve"> </w:t>
      </w:r>
      <w:r w:rsidRPr="00215B69">
        <w:rPr>
          <w:rFonts w:cs="Arial"/>
          <w:b/>
          <w:sz w:val="22"/>
          <w:szCs w:val="22"/>
        </w:rPr>
        <w:t>DEJAR SIN EFECTOS JURÍDICOS</w:t>
      </w:r>
      <w:r w:rsidRPr="00215B69">
        <w:rPr>
          <w:rFonts w:cs="Arial"/>
          <w:sz w:val="22"/>
          <w:szCs w:val="22"/>
        </w:rPr>
        <w:t xml:space="preserve">, la </w:t>
      </w:r>
      <w:r w:rsidRPr="00215B69">
        <w:rPr>
          <w:rFonts w:cs="Arial"/>
          <w:color w:val="000000"/>
          <w:sz w:val="22"/>
          <w:szCs w:val="22"/>
        </w:rPr>
        <w:t xml:space="preserve">Resolución No. </w:t>
      </w:r>
      <w:r w:rsidR="00215B69" w:rsidRPr="00215B69">
        <w:rPr>
          <w:rFonts w:cs="Arial"/>
          <w:iCs/>
          <w:sz w:val="22"/>
          <w:szCs w:val="22"/>
        </w:rPr>
        <w:t>8570 del 15 de diciembre de 2021</w:t>
      </w:r>
      <w:r w:rsidR="00215B69" w:rsidRPr="00215B69">
        <w:rPr>
          <w:rFonts w:cs="Arial"/>
          <w:sz w:val="22"/>
          <w:szCs w:val="22"/>
        </w:rPr>
        <w:t>, emitida por la Subdirección de Vigilancia en Salud Pública de la Secretaría Distrital de Salud – SDS, que impuso sanción consistente en multa de treinta (30) salarios mínimos legales diarios vigentes, equivalente a la suma de NOVECIENTOS OCHO MIL QUINIENTOS VEINTISÉIS  PESOS M/CTE ($908.526) al señor JHON JAIRO LÓPEZ CASTAÑEDA, identificado con cedula de ciudadanía No. 79.767.305 en calidad de propietario y/o responsable del establecimiento denominado TALLER PICO Y PLACA</w:t>
      </w:r>
      <w:r w:rsidRPr="00215B69">
        <w:rPr>
          <w:rFonts w:cs="Arial"/>
          <w:sz w:val="22"/>
          <w:szCs w:val="22"/>
        </w:rPr>
        <w:t xml:space="preserve"> y</w:t>
      </w:r>
      <w:r w:rsidRPr="00215B69">
        <w:rPr>
          <w:rFonts w:cs="Arial"/>
          <w:spacing w:val="14"/>
          <w:sz w:val="22"/>
          <w:szCs w:val="22"/>
        </w:rPr>
        <w:t xml:space="preserve"> </w:t>
      </w:r>
      <w:r w:rsidRPr="00215B69">
        <w:rPr>
          <w:rFonts w:cs="Arial"/>
          <w:sz w:val="22"/>
          <w:szCs w:val="22"/>
        </w:rPr>
        <w:t>por consiguiente</w:t>
      </w:r>
      <w:bookmarkStart w:id="3" w:name="_Hlk198564553"/>
      <w:r w:rsidRPr="00215B69">
        <w:rPr>
          <w:rFonts w:cs="Arial"/>
          <w:sz w:val="22"/>
          <w:szCs w:val="22"/>
        </w:rPr>
        <w:t xml:space="preserve"> ordenar la terminación de </w:t>
      </w:r>
      <w:bookmarkEnd w:id="3"/>
      <w:r w:rsidRPr="00215B69">
        <w:rPr>
          <w:rFonts w:cs="Arial"/>
          <w:sz w:val="22"/>
          <w:szCs w:val="22"/>
        </w:rPr>
        <w:t xml:space="preserve">la Investigación Administrativa No. </w:t>
      </w:r>
      <w:r w:rsidR="00215B69">
        <w:rPr>
          <w:rFonts w:cs="Arial"/>
          <w:sz w:val="22"/>
          <w:szCs w:val="22"/>
        </w:rPr>
        <w:t>10709-2018</w:t>
      </w:r>
      <w:r w:rsidRPr="00215B69">
        <w:rPr>
          <w:rFonts w:cs="Arial"/>
          <w:sz w:val="22"/>
          <w:szCs w:val="22"/>
        </w:rPr>
        <w:t xml:space="preserve"> y el archivo de las diligencias.  </w:t>
      </w:r>
      <w:r w:rsidR="00215B69">
        <w:rPr>
          <w:rFonts w:cs="Arial"/>
          <w:sz w:val="22"/>
          <w:szCs w:val="22"/>
        </w:rPr>
        <w:t xml:space="preserve">  </w:t>
      </w:r>
    </w:p>
    <w:p w:rsidR="000B1B77" w:rsidRPr="00215B69" w:rsidRDefault="000B1B77" w:rsidP="000B1B77">
      <w:pPr>
        <w:ind w:right="240"/>
        <w:jc w:val="both"/>
        <w:rPr>
          <w:rFonts w:cs="Arial"/>
          <w:sz w:val="22"/>
          <w:szCs w:val="22"/>
        </w:rPr>
      </w:pPr>
    </w:p>
    <w:p w:rsidR="000B1B77" w:rsidRPr="00215B69" w:rsidRDefault="000B1B77" w:rsidP="000B1B77">
      <w:pPr>
        <w:ind w:left="20" w:right="20"/>
        <w:jc w:val="both"/>
        <w:rPr>
          <w:rFonts w:cs="Arial"/>
          <w:sz w:val="22"/>
          <w:szCs w:val="22"/>
        </w:rPr>
      </w:pPr>
      <w:r w:rsidRPr="00215B69">
        <w:rPr>
          <w:rFonts w:cs="Arial"/>
          <w:b/>
          <w:bCs/>
          <w:sz w:val="22"/>
          <w:szCs w:val="22"/>
        </w:rPr>
        <w:t>ARTÍCULO SEGUNDO:</w:t>
      </w:r>
      <w:r w:rsidRPr="00215B69">
        <w:rPr>
          <w:rFonts w:cs="Arial"/>
          <w:sz w:val="22"/>
          <w:szCs w:val="22"/>
        </w:rPr>
        <w:t xml:space="preserve"> </w:t>
      </w:r>
      <w:r w:rsidRPr="00215B69">
        <w:rPr>
          <w:rFonts w:cs="Arial"/>
          <w:b/>
          <w:bCs/>
          <w:sz w:val="22"/>
          <w:szCs w:val="22"/>
        </w:rPr>
        <w:t>NOTIFICAR</w:t>
      </w:r>
      <w:r w:rsidRPr="00215B69">
        <w:rPr>
          <w:rFonts w:cs="Arial"/>
          <w:sz w:val="22"/>
          <w:szCs w:val="22"/>
        </w:rPr>
        <w:t xml:space="preserve"> del contenido de esta resolución a la parte investigada, haciéndoles saber que contra la presente decisión no procede recurso alguno. </w:t>
      </w:r>
    </w:p>
    <w:p w:rsidR="000B1B77" w:rsidRPr="00215B69" w:rsidRDefault="000B1B77" w:rsidP="000B1B77">
      <w:pPr>
        <w:ind w:left="20" w:right="20"/>
        <w:jc w:val="both"/>
        <w:rPr>
          <w:rFonts w:cs="Arial"/>
          <w:sz w:val="22"/>
          <w:szCs w:val="22"/>
        </w:rPr>
      </w:pPr>
    </w:p>
    <w:p w:rsidR="000B1B77" w:rsidRPr="00215B69" w:rsidRDefault="000B1B77" w:rsidP="000B1B77">
      <w:pPr>
        <w:ind w:left="20" w:right="20"/>
        <w:jc w:val="both"/>
        <w:rPr>
          <w:rFonts w:cs="Arial"/>
          <w:sz w:val="22"/>
          <w:szCs w:val="22"/>
        </w:rPr>
      </w:pPr>
      <w:r w:rsidRPr="00215B69">
        <w:rPr>
          <w:rFonts w:cs="Arial"/>
          <w:b/>
          <w:bCs/>
          <w:sz w:val="22"/>
          <w:szCs w:val="22"/>
        </w:rPr>
        <w:t>PARÁGRAFO:</w:t>
      </w:r>
      <w:r w:rsidRPr="00215B69">
        <w:rPr>
          <w:rFonts w:cs="Arial"/>
          <w:sz w:val="22"/>
          <w:szCs w:val="22"/>
        </w:rPr>
        <w:t xml:space="preserve"> Si no fuere posible notificar personalmente dentro del término legal previsto, deberá hacerse conforme a lo establecido en el Código de Procedimiento Administrativo y de lo Contencioso Administrativo - CPACA. </w:t>
      </w:r>
    </w:p>
    <w:p w:rsidR="000B1B77" w:rsidRPr="00215B69" w:rsidRDefault="000B1B77" w:rsidP="000B1B77">
      <w:pPr>
        <w:ind w:left="20" w:right="20"/>
        <w:jc w:val="both"/>
        <w:rPr>
          <w:rFonts w:cs="Arial"/>
          <w:sz w:val="22"/>
          <w:szCs w:val="22"/>
        </w:rPr>
      </w:pPr>
    </w:p>
    <w:p w:rsidR="000B1B77" w:rsidRPr="00215B69" w:rsidRDefault="000B1B77" w:rsidP="000B1B77">
      <w:pPr>
        <w:ind w:left="20" w:right="20"/>
        <w:jc w:val="both"/>
        <w:rPr>
          <w:rFonts w:cs="Arial"/>
          <w:sz w:val="22"/>
          <w:szCs w:val="22"/>
        </w:rPr>
      </w:pPr>
      <w:r w:rsidRPr="00215B69">
        <w:rPr>
          <w:rFonts w:cs="Arial"/>
          <w:b/>
          <w:bCs/>
          <w:sz w:val="22"/>
          <w:szCs w:val="22"/>
        </w:rPr>
        <w:t>ARTICULO TERCERO:</w:t>
      </w:r>
      <w:r w:rsidRPr="00215B69">
        <w:rPr>
          <w:rFonts w:cs="Arial"/>
          <w:sz w:val="22"/>
          <w:szCs w:val="22"/>
        </w:rPr>
        <w:t xml:space="preserve"> </w:t>
      </w:r>
      <w:r w:rsidRPr="00215B69">
        <w:rPr>
          <w:rFonts w:cs="Arial"/>
          <w:b/>
          <w:bCs/>
          <w:sz w:val="22"/>
          <w:szCs w:val="22"/>
        </w:rPr>
        <w:t>NOTIFICADA</w:t>
      </w:r>
      <w:r w:rsidRPr="00215B69">
        <w:rPr>
          <w:rFonts w:cs="Arial"/>
          <w:sz w:val="22"/>
          <w:szCs w:val="22"/>
        </w:rPr>
        <w:t xml:space="preserve"> la presente providencia, se ordena devolver el expediente a la Subdirección de Vigilancia en Salud Pública de la Secretaría Distrital de Salud de Bogotá, para que continúe con el trámite legal a que haya lugar. </w:t>
      </w:r>
    </w:p>
    <w:p w:rsidR="000B1B77" w:rsidRPr="00215B69" w:rsidRDefault="000B1B77" w:rsidP="000B1B77">
      <w:pPr>
        <w:jc w:val="both"/>
        <w:rPr>
          <w:rFonts w:cs="Arial"/>
          <w:b/>
          <w:bCs/>
          <w:sz w:val="22"/>
          <w:szCs w:val="22"/>
        </w:rPr>
      </w:pPr>
    </w:p>
    <w:p w:rsidR="000B1B77" w:rsidRPr="00215B69" w:rsidRDefault="000B1B77" w:rsidP="000B1B77">
      <w:pPr>
        <w:jc w:val="both"/>
        <w:rPr>
          <w:rFonts w:cs="Arial"/>
          <w:sz w:val="22"/>
          <w:szCs w:val="22"/>
        </w:rPr>
      </w:pPr>
      <w:r w:rsidRPr="00215B69">
        <w:rPr>
          <w:rFonts w:cs="Arial"/>
          <w:b/>
          <w:bCs/>
          <w:sz w:val="22"/>
          <w:szCs w:val="22"/>
        </w:rPr>
        <w:t xml:space="preserve">ARTÍCULO CUARTO: </w:t>
      </w:r>
      <w:r w:rsidRPr="00215B69">
        <w:rPr>
          <w:rFonts w:cs="Arial"/>
          <w:sz w:val="22"/>
          <w:szCs w:val="22"/>
        </w:rPr>
        <w:t xml:space="preserve">La presente resolución rige a partir de la fecha de su expedición.                         </w:t>
      </w:r>
    </w:p>
    <w:p w:rsidR="000B1B77" w:rsidRPr="00215B69" w:rsidRDefault="000B1B77" w:rsidP="000B1B77">
      <w:pPr>
        <w:jc w:val="center"/>
        <w:rPr>
          <w:rFonts w:cs="Arial"/>
          <w:sz w:val="22"/>
          <w:szCs w:val="22"/>
        </w:rPr>
      </w:pPr>
    </w:p>
    <w:p w:rsidR="000B1B77" w:rsidRPr="00215B69" w:rsidRDefault="000B1B77" w:rsidP="000B1B77">
      <w:pPr>
        <w:jc w:val="center"/>
        <w:rPr>
          <w:rFonts w:cs="Arial"/>
          <w:b/>
          <w:bCs/>
          <w:sz w:val="22"/>
          <w:szCs w:val="22"/>
        </w:rPr>
      </w:pPr>
      <w:r w:rsidRPr="00215B69">
        <w:rPr>
          <w:rFonts w:cs="Arial"/>
          <w:b/>
          <w:bCs/>
          <w:sz w:val="22"/>
          <w:szCs w:val="22"/>
        </w:rPr>
        <w:t>NOTIFÍQUESE Y CÚMPLASE.</w:t>
      </w:r>
    </w:p>
    <w:p w:rsidR="000B1B77" w:rsidRPr="00215B69" w:rsidRDefault="000B1B77" w:rsidP="000B1B77">
      <w:pPr>
        <w:keepNext/>
        <w:outlineLvl w:val="1"/>
        <w:rPr>
          <w:rFonts w:cs="Arial"/>
          <w:noProof/>
          <w:sz w:val="22"/>
          <w:szCs w:val="22"/>
          <w:lang w:eastAsia="x-none"/>
        </w:rPr>
      </w:pPr>
    </w:p>
    <w:p w:rsidR="000B1B77" w:rsidRPr="00215B69" w:rsidRDefault="000B1B77" w:rsidP="000B1B77">
      <w:pPr>
        <w:keepNext/>
        <w:outlineLvl w:val="1"/>
        <w:rPr>
          <w:rFonts w:cs="Arial"/>
          <w:noProof/>
          <w:sz w:val="22"/>
          <w:szCs w:val="22"/>
          <w:lang w:eastAsia="x-none"/>
        </w:rPr>
      </w:pPr>
      <w:r w:rsidRPr="00215B69">
        <w:rPr>
          <w:rFonts w:cs="Arial"/>
          <w:noProof/>
          <w:sz w:val="22"/>
          <w:szCs w:val="22"/>
          <w:lang w:eastAsia="x-none"/>
        </w:rPr>
        <w:t>Dada en Bogotá D.C., a los:______________</w:t>
      </w:r>
    </w:p>
    <w:p w:rsidR="000B1B77" w:rsidRPr="00215B69" w:rsidRDefault="000B1B77" w:rsidP="000B1B77">
      <w:pPr>
        <w:rPr>
          <w:rFonts w:cs="Arial"/>
          <w:sz w:val="22"/>
          <w:szCs w:val="22"/>
        </w:rPr>
      </w:pPr>
    </w:p>
    <w:p w:rsidR="000B1B77" w:rsidRPr="00215B69" w:rsidRDefault="000B1B77" w:rsidP="000B1B77">
      <w:pPr>
        <w:rPr>
          <w:rFonts w:cs="Arial"/>
          <w:sz w:val="22"/>
          <w:szCs w:val="22"/>
        </w:rPr>
      </w:pPr>
    </w:p>
    <w:p w:rsidR="000B1B77" w:rsidRPr="00215B69" w:rsidRDefault="000B1B77" w:rsidP="000B1B77">
      <w:pPr>
        <w:rPr>
          <w:rFonts w:cs="Arial"/>
          <w:sz w:val="22"/>
          <w:szCs w:val="22"/>
        </w:rPr>
      </w:pPr>
    </w:p>
    <w:p w:rsidR="000B1B77" w:rsidRPr="00215B69" w:rsidRDefault="000B1B77" w:rsidP="000B1B77">
      <w:pPr>
        <w:rPr>
          <w:rFonts w:cs="Arial"/>
          <w:sz w:val="22"/>
          <w:szCs w:val="22"/>
        </w:rPr>
      </w:pPr>
    </w:p>
    <w:p w:rsidR="000B1B77" w:rsidRPr="00215B69" w:rsidRDefault="000B1B77" w:rsidP="000B1B77">
      <w:pPr>
        <w:rPr>
          <w:rFonts w:cs="Arial"/>
          <w:sz w:val="22"/>
          <w:szCs w:val="22"/>
        </w:rPr>
      </w:pPr>
    </w:p>
    <w:p w:rsidR="000B1B77" w:rsidRPr="00215B69" w:rsidRDefault="000B1B77" w:rsidP="000B1B77">
      <w:pPr>
        <w:jc w:val="center"/>
        <w:rPr>
          <w:rFonts w:cs="Arial"/>
          <w:b/>
          <w:bCs/>
          <w:sz w:val="22"/>
          <w:szCs w:val="22"/>
        </w:rPr>
      </w:pPr>
      <w:r w:rsidRPr="00215B69">
        <w:rPr>
          <w:rFonts w:cs="Arial"/>
          <w:b/>
          <w:bCs/>
          <w:sz w:val="22"/>
          <w:szCs w:val="22"/>
        </w:rPr>
        <w:t>GERSON ORLANDO BERMONT GALAVIS</w:t>
      </w:r>
    </w:p>
    <w:p w:rsidR="000B1B77" w:rsidRPr="00215B69" w:rsidRDefault="000B1B77" w:rsidP="000B1B77">
      <w:pPr>
        <w:jc w:val="center"/>
        <w:rPr>
          <w:rFonts w:cs="Arial"/>
          <w:b/>
          <w:bCs/>
          <w:sz w:val="22"/>
          <w:szCs w:val="22"/>
        </w:rPr>
      </w:pPr>
      <w:r w:rsidRPr="00215B69">
        <w:rPr>
          <w:rFonts w:cs="Arial"/>
          <w:b/>
          <w:bCs/>
          <w:sz w:val="22"/>
          <w:szCs w:val="22"/>
        </w:rPr>
        <w:t>Secretario Distrital de Salud</w:t>
      </w:r>
    </w:p>
    <w:p w:rsidR="000B1B77" w:rsidRPr="00215B69" w:rsidRDefault="000B1B77" w:rsidP="000B1B77">
      <w:pPr>
        <w:rPr>
          <w:rFonts w:cs="Arial"/>
          <w:iCs/>
          <w:sz w:val="14"/>
          <w:szCs w:val="14"/>
        </w:rPr>
      </w:pPr>
    </w:p>
    <w:p w:rsidR="000B1B77" w:rsidRPr="00215B69" w:rsidRDefault="000B1B77" w:rsidP="000B1B77">
      <w:pPr>
        <w:rPr>
          <w:rFonts w:cs="Arial"/>
          <w:iCs/>
          <w:sz w:val="14"/>
          <w:szCs w:val="14"/>
        </w:rPr>
      </w:pPr>
    </w:p>
    <w:p w:rsidR="000B1B77" w:rsidRPr="00215B69" w:rsidRDefault="000B1B77" w:rsidP="000B1B77">
      <w:pPr>
        <w:rPr>
          <w:rFonts w:cs="Arial"/>
          <w:sz w:val="14"/>
          <w:szCs w:val="14"/>
        </w:rPr>
      </w:pPr>
      <w:r w:rsidRPr="00215B69">
        <w:rPr>
          <w:rFonts w:cs="Arial"/>
          <w:iCs/>
          <w:sz w:val="14"/>
          <w:szCs w:val="14"/>
        </w:rPr>
        <w:t xml:space="preserve">Elaboró: Giovanny Fajardo Jiménez. </w:t>
      </w:r>
    </w:p>
    <w:p w:rsidR="000B1B77" w:rsidRPr="00215B69" w:rsidRDefault="000B1B77" w:rsidP="000B1B77">
      <w:pPr>
        <w:rPr>
          <w:rFonts w:cs="Arial"/>
          <w:iCs/>
          <w:sz w:val="14"/>
          <w:szCs w:val="14"/>
        </w:rPr>
      </w:pPr>
      <w:r w:rsidRPr="00215B69">
        <w:rPr>
          <w:rFonts w:cs="Arial"/>
          <w:iCs/>
          <w:sz w:val="14"/>
          <w:szCs w:val="14"/>
        </w:rPr>
        <w:t xml:space="preserve">Reviso: Julio Cesar Lozano Mier. </w:t>
      </w:r>
    </w:p>
    <w:p w:rsidR="000B1B77" w:rsidRPr="00215B69" w:rsidRDefault="000B1B77" w:rsidP="000B1B77">
      <w:pPr>
        <w:rPr>
          <w:rFonts w:cs="Arial"/>
          <w:sz w:val="14"/>
          <w:szCs w:val="14"/>
        </w:rPr>
      </w:pPr>
      <w:r w:rsidRPr="00215B69">
        <w:rPr>
          <w:rFonts w:cs="Arial"/>
          <w:iCs/>
          <w:sz w:val="14"/>
          <w:szCs w:val="14"/>
        </w:rPr>
        <w:t xml:space="preserve">Aprobó: Melissa Triana Luna.   </w:t>
      </w:r>
    </w:p>
    <w:p w:rsidR="00C54FE8" w:rsidRPr="00215B69" w:rsidRDefault="00C54FE8"/>
    <w:sectPr w:rsidR="00C54FE8" w:rsidRPr="00215B69" w:rsidSect="009B4D81">
      <w:headerReference w:type="even" r:id="rId6"/>
      <w:headerReference w:type="default" r:id="rId7"/>
      <w:footerReference w:type="even" r:id="rId8"/>
      <w:footerReference w:type="default" r:id="rId9"/>
      <w:headerReference w:type="first" r:id="rId10"/>
      <w:footerReference w:type="first" r:id="rId11"/>
      <w:pgSz w:w="12240" w:h="15840" w:code="1"/>
      <w:pgMar w:top="2268" w:right="1134" w:bottom="1418" w:left="1134" w:header="283"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5AF8" w:rsidRDefault="006D415B">
      <w:r>
        <w:separator/>
      </w:r>
    </w:p>
  </w:endnote>
  <w:endnote w:type="continuationSeparator" w:id="0">
    <w:p w:rsidR="002E5AF8" w:rsidRDefault="006D4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2CE9" w:rsidRDefault="000B1B7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6A2CE9" w:rsidRDefault="00936B6E">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744649"/>
      <w:docPartObj>
        <w:docPartGallery w:val="Page Numbers (Bottom of Page)"/>
        <w:docPartUnique/>
      </w:docPartObj>
    </w:sdtPr>
    <w:sdtEndPr/>
    <w:sdtContent>
      <w:sdt>
        <w:sdtPr>
          <w:id w:val="216747587"/>
          <w:docPartObj>
            <w:docPartGallery w:val="Page Numbers (Top of Page)"/>
            <w:docPartUnique/>
          </w:docPartObj>
        </w:sdtPr>
        <w:sdtEndPr/>
        <w:sdtContent>
          <w:p w:rsidR="006A2CE9" w:rsidRDefault="000B1B77" w:rsidP="00053D59">
            <w:pPr>
              <w:pStyle w:val="Piedepgina"/>
              <w:tabs>
                <w:tab w:val="left" w:pos="3115"/>
                <w:tab w:val="right" w:pos="9972"/>
              </w:tabs>
            </w:pPr>
            <w:r>
              <w:rPr>
                <w:noProof/>
                <w:lang w:eastAsia="es-CO" w:bidi="ar-SA"/>
              </w:rPr>
              <w:drawing>
                <wp:anchor distT="0" distB="0" distL="114300" distR="114300" simplePos="0" relativeHeight="251661312" behindDoc="1" locked="0" layoutInCell="1" allowOverlap="1" wp14:anchorId="18425953" wp14:editId="44697781">
                  <wp:simplePos x="0" y="0"/>
                  <wp:positionH relativeFrom="column">
                    <wp:posOffset>811530</wp:posOffset>
                  </wp:positionH>
                  <wp:positionV relativeFrom="paragraph">
                    <wp:posOffset>9224010</wp:posOffset>
                  </wp:positionV>
                  <wp:extent cx="5610860" cy="855980"/>
                  <wp:effectExtent l="0" t="0" r="0"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60288" behindDoc="1" locked="0" layoutInCell="1" allowOverlap="1" wp14:anchorId="1D1A6C1A" wp14:editId="19B1EBED">
                  <wp:simplePos x="0" y="0"/>
                  <wp:positionH relativeFrom="column">
                    <wp:posOffset>811530</wp:posOffset>
                  </wp:positionH>
                  <wp:positionV relativeFrom="paragraph">
                    <wp:posOffset>9224010</wp:posOffset>
                  </wp:positionV>
                  <wp:extent cx="5610860" cy="855980"/>
                  <wp:effectExtent l="0" t="0" r="0" b="0"/>
                  <wp:wrapNone/>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tab/>
            </w:r>
            <w:r>
              <w:tab/>
            </w:r>
            <w:r>
              <w:tab/>
            </w:r>
            <w:r w:rsidRPr="00D47B4F">
              <w:rPr>
                <w:noProof/>
                <w:sz w:val="20"/>
                <w:szCs w:val="20"/>
                <w:lang w:eastAsia="es-CO" w:bidi="ar-SA"/>
              </w:rPr>
              <w:drawing>
                <wp:anchor distT="0" distB="0" distL="114300" distR="114300" simplePos="0" relativeHeight="251659264" behindDoc="1" locked="0" layoutInCell="1" allowOverlap="1" wp14:anchorId="59B4ABB4" wp14:editId="032BF29C">
                  <wp:simplePos x="0" y="0"/>
                  <wp:positionH relativeFrom="column">
                    <wp:posOffset>811530</wp:posOffset>
                  </wp:positionH>
                  <wp:positionV relativeFrom="paragraph">
                    <wp:posOffset>9224010</wp:posOffset>
                  </wp:positionV>
                  <wp:extent cx="5610860" cy="855980"/>
                  <wp:effectExtent l="0" t="0" r="0" b="0"/>
                  <wp:wrapNone/>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Pr="00D47B4F">
              <w:rPr>
                <w:sz w:val="20"/>
                <w:szCs w:val="20"/>
              </w:rPr>
              <w:t xml:space="preserve">Página </w:t>
            </w:r>
            <w:r w:rsidRPr="00D47B4F">
              <w:rPr>
                <w:b/>
                <w:sz w:val="20"/>
                <w:szCs w:val="20"/>
              </w:rPr>
              <w:fldChar w:fldCharType="begin"/>
            </w:r>
            <w:r w:rsidRPr="00D47B4F">
              <w:rPr>
                <w:b/>
                <w:sz w:val="20"/>
                <w:szCs w:val="20"/>
              </w:rPr>
              <w:instrText>PAGE</w:instrText>
            </w:r>
            <w:r w:rsidRPr="00D47B4F">
              <w:rPr>
                <w:b/>
                <w:sz w:val="20"/>
                <w:szCs w:val="20"/>
              </w:rPr>
              <w:fldChar w:fldCharType="separate"/>
            </w:r>
            <w:r w:rsidR="00936B6E">
              <w:rPr>
                <w:b/>
                <w:noProof/>
                <w:sz w:val="20"/>
                <w:szCs w:val="20"/>
              </w:rPr>
              <w:t>4</w:t>
            </w:r>
            <w:r w:rsidRPr="00D47B4F">
              <w:rPr>
                <w:b/>
                <w:sz w:val="20"/>
                <w:szCs w:val="20"/>
              </w:rPr>
              <w:fldChar w:fldCharType="end"/>
            </w:r>
            <w:r w:rsidRPr="00D47B4F">
              <w:rPr>
                <w:sz w:val="20"/>
                <w:szCs w:val="20"/>
              </w:rPr>
              <w:t xml:space="preserve"> de </w:t>
            </w:r>
            <w:r w:rsidRPr="00D47B4F">
              <w:rPr>
                <w:b/>
                <w:sz w:val="20"/>
                <w:szCs w:val="20"/>
              </w:rPr>
              <w:fldChar w:fldCharType="begin"/>
            </w:r>
            <w:r w:rsidRPr="00D47B4F">
              <w:rPr>
                <w:b/>
                <w:sz w:val="20"/>
                <w:szCs w:val="20"/>
              </w:rPr>
              <w:instrText>NUMPAGES</w:instrText>
            </w:r>
            <w:r w:rsidRPr="00D47B4F">
              <w:rPr>
                <w:b/>
                <w:sz w:val="20"/>
                <w:szCs w:val="20"/>
              </w:rPr>
              <w:fldChar w:fldCharType="separate"/>
            </w:r>
            <w:r w:rsidR="00936B6E">
              <w:rPr>
                <w:b/>
                <w:noProof/>
                <w:sz w:val="20"/>
                <w:szCs w:val="20"/>
              </w:rPr>
              <w:t>5</w:t>
            </w:r>
            <w:r w:rsidRPr="00D47B4F">
              <w:rPr>
                <w:b/>
                <w:sz w:val="20"/>
                <w:szCs w:val="20"/>
              </w:rPr>
              <w:fldChar w:fldCharType="end"/>
            </w:r>
          </w:p>
        </w:sdtContent>
      </w:sdt>
    </w:sdtContent>
  </w:sdt>
  <w:p w:rsidR="006A2CE9" w:rsidRDefault="000B1B77" w:rsidP="00A50908">
    <w:pPr>
      <w:pStyle w:val="Piedepgina"/>
      <w:ind w:right="360"/>
    </w:pPr>
    <w:r>
      <w:rPr>
        <w:noProof/>
        <w:lang w:eastAsia="es-CO" w:bidi="ar-SA"/>
      </w:rPr>
      <w:drawing>
        <wp:anchor distT="0" distB="0" distL="114300" distR="114300" simplePos="0" relativeHeight="251664384" behindDoc="1" locked="0" layoutInCell="1" allowOverlap="1" wp14:anchorId="4806F275" wp14:editId="4D905DA7">
          <wp:simplePos x="0" y="0"/>
          <wp:positionH relativeFrom="column">
            <wp:posOffset>811530</wp:posOffset>
          </wp:positionH>
          <wp:positionV relativeFrom="paragraph">
            <wp:posOffset>9224010</wp:posOffset>
          </wp:positionV>
          <wp:extent cx="5610860" cy="855980"/>
          <wp:effectExtent l="0" t="0" r="0" b="0"/>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63360" behindDoc="1" locked="0" layoutInCell="1" allowOverlap="1" wp14:anchorId="3665B6C5" wp14:editId="77217B01">
          <wp:simplePos x="0" y="0"/>
          <wp:positionH relativeFrom="column">
            <wp:posOffset>811530</wp:posOffset>
          </wp:positionH>
          <wp:positionV relativeFrom="paragraph">
            <wp:posOffset>9224010</wp:posOffset>
          </wp:positionV>
          <wp:extent cx="5610860" cy="855980"/>
          <wp:effectExtent l="0" t="0" r="0" b="0"/>
          <wp:wrapNone/>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Pr="00A50908">
      <w:rPr>
        <w:noProof/>
        <w:lang w:eastAsia="es-CO" w:bidi="ar-SA"/>
      </w:rPr>
      <w:drawing>
        <wp:inline distT="0" distB="0" distL="0" distR="0" wp14:anchorId="5A78D497" wp14:editId="68808F2D">
          <wp:extent cx="6229350" cy="668835"/>
          <wp:effectExtent l="0" t="0" r="0" b="0"/>
          <wp:docPr id="1993494145" name="Imagen 1993494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456089" cy="693180"/>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5EF" w:rsidRDefault="00936B6E" w:rsidP="00A50908">
    <w:pPr>
      <w:pStyle w:val="Piedepgina"/>
    </w:pPr>
  </w:p>
  <w:p w:rsidR="00CF3006" w:rsidRDefault="00936B6E" w:rsidP="00A50908">
    <w:pPr>
      <w:pStyle w:val="Piedepgina"/>
      <w:rPr>
        <w:noProof/>
        <w:lang w:eastAsia="es-CO" w:bidi="ar-SA"/>
      </w:rPr>
    </w:pPr>
  </w:p>
  <w:p w:rsidR="006A2CE9" w:rsidRDefault="000B1B77" w:rsidP="00A50908">
    <w:pPr>
      <w:pStyle w:val="Piedepgina"/>
    </w:pPr>
    <w:r w:rsidRPr="00A50908">
      <w:rPr>
        <w:noProof/>
        <w:lang w:eastAsia="es-CO" w:bidi="ar-SA"/>
      </w:rPr>
      <w:drawing>
        <wp:inline distT="0" distB="0" distL="0" distR="0" wp14:anchorId="5DF5B1AF" wp14:editId="35AE7133">
          <wp:extent cx="6048375" cy="680533"/>
          <wp:effectExtent l="0" t="0" r="0" b="5715"/>
          <wp:docPr id="1637536401" name="Imagen 1637536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79333" cy="684016"/>
                  </a:xfrm>
                  <a:prstGeom prst="rect">
                    <a:avLst/>
                  </a:prstGeom>
                  <a:noFill/>
                </pic:spPr>
              </pic:pic>
            </a:graphicData>
          </a:graphic>
        </wp:inline>
      </w:drawing>
    </w:r>
    <w:r>
      <w:rPr>
        <w:noProof/>
        <w:lang w:eastAsia="es-CO" w:bidi="ar-SA"/>
      </w:rPr>
      <w:drawing>
        <wp:anchor distT="0" distB="0" distL="114300" distR="114300" simplePos="0" relativeHeight="251662336" behindDoc="1" locked="0" layoutInCell="1" allowOverlap="1" wp14:anchorId="00397737" wp14:editId="379F299C">
          <wp:simplePos x="0" y="0"/>
          <wp:positionH relativeFrom="column">
            <wp:posOffset>811530</wp:posOffset>
          </wp:positionH>
          <wp:positionV relativeFrom="paragraph">
            <wp:posOffset>9224010</wp:posOffset>
          </wp:positionV>
          <wp:extent cx="5610860" cy="855980"/>
          <wp:effectExtent l="0" t="0" r="0" b="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5AF8" w:rsidRDefault="006D415B">
      <w:r>
        <w:separator/>
      </w:r>
    </w:p>
  </w:footnote>
  <w:footnote w:type="continuationSeparator" w:id="0">
    <w:p w:rsidR="002E5AF8" w:rsidRDefault="006D4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136" w:rsidRDefault="005A113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5EF" w:rsidRDefault="00936B6E">
    <w:bookmarkStart w:id="4" w:name="_Hlk30415542"/>
  </w:p>
  <w:p w:rsidR="006A2CE9" w:rsidRDefault="000B1B77">
    <w:r w:rsidRPr="000F5B56">
      <w:rPr>
        <w:noProof/>
        <w:lang w:eastAsia="es-CO" w:bidi="ar-SA"/>
      </w:rPr>
      <w:drawing>
        <wp:inline distT="0" distB="0" distL="0" distR="0" wp14:anchorId="5664168B" wp14:editId="58C1A777">
          <wp:extent cx="5613400" cy="908685"/>
          <wp:effectExtent l="0" t="0" r="6350" b="5715"/>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inline>
      </w:drawing>
    </w:r>
    <w:bookmarkEnd w:id="4"/>
  </w:p>
  <w:p w:rsidR="00C4105C" w:rsidRDefault="000B1B77" w:rsidP="00C67F77">
    <w:pPr>
      <w:rPr>
        <w:rFonts w:cs="Arial"/>
        <w:sz w:val="22"/>
        <w:szCs w:val="22"/>
      </w:rPr>
    </w:pPr>
    <w:r w:rsidRPr="00A40263">
      <w:rPr>
        <w:rFonts w:ascii="Times New Roman" w:hAnsi="Times New Roman"/>
        <w:sz w:val="20"/>
        <w:szCs w:val="20"/>
      </w:rPr>
      <w:t>Continuación de la Resolución No.</w:t>
    </w:r>
    <w:r>
      <w:rPr>
        <w:rFonts w:ascii="Times New Roman" w:hAnsi="Times New Roman"/>
        <w:sz w:val="20"/>
        <w:szCs w:val="20"/>
      </w:rPr>
      <w:t xml:space="preserve"> _________________ de fecha</w:t>
    </w:r>
    <w:r w:rsidRPr="00E624A4">
      <w:rPr>
        <w:rFonts w:ascii="Times New Roman" w:hAnsi="Times New Roman"/>
        <w:i/>
        <w:sz w:val="20"/>
        <w:szCs w:val="20"/>
      </w:rPr>
      <w:t xml:space="preserve">__________________________ </w:t>
    </w:r>
    <w:r>
      <w:rPr>
        <w:rFonts w:ascii="Times New Roman" w:hAnsi="Times New Roman"/>
        <w:i/>
        <w:sz w:val="20"/>
        <w:szCs w:val="20"/>
      </w:rPr>
      <w:t>“</w:t>
    </w:r>
    <w:r w:rsidR="005A1136" w:rsidRPr="005A1136">
      <w:rPr>
        <w:rFonts w:ascii="Times New Roman" w:hAnsi="Times New Roman"/>
        <w:i/>
        <w:sz w:val="20"/>
        <w:szCs w:val="20"/>
      </w:rPr>
      <w:t>Por la cual se Revoca la Resolución No. 8570 del 15 de diciembre de 2021 proferida por la Subdirección de Vigilancia en Salud Pública, dentro de la Investigación Administrativa No. 10709-2018</w:t>
    </w:r>
    <w:r>
      <w:rPr>
        <w:rFonts w:ascii="Times New Roman" w:hAnsi="Times New Roman"/>
        <w:i/>
        <w:sz w:val="20"/>
        <w:szCs w:val="20"/>
      </w:rPr>
      <w:t>”</w:t>
    </w:r>
    <w:r>
      <w:rPr>
        <w:rFonts w:cs="Arial"/>
        <w:sz w:val="22"/>
        <w:szCs w:val="22"/>
      </w:rPr>
      <w:t>.</w:t>
    </w:r>
    <w:r w:rsidRPr="000258C5">
      <w:rPr>
        <w:rFonts w:cs="Arial"/>
        <w:sz w:val="22"/>
        <w:szCs w:val="22"/>
      </w:rPr>
      <w:t xml:space="preserve"> </w:t>
    </w:r>
    <w:r>
      <w:rPr>
        <w:rFonts w:cs="Arial"/>
        <w:sz w:val="22"/>
        <w:szCs w:val="22"/>
      </w:rPr>
      <w:t xml:space="preserve">     </w:t>
    </w:r>
    <w:r w:rsidR="005A1136">
      <w:rPr>
        <w:rFonts w:cs="Arial"/>
        <w:sz w:val="22"/>
        <w:szCs w:val="22"/>
      </w:rPr>
      <w:t xml:space="preserve"> </w:t>
    </w:r>
    <w:r>
      <w:rPr>
        <w:rFonts w:cs="Arial"/>
        <w:sz w:val="22"/>
        <w:szCs w:val="22"/>
      </w:rPr>
      <w:t xml:space="preserve"> </w:t>
    </w:r>
  </w:p>
  <w:p w:rsidR="0086361D" w:rsidRPr="002B11F0" w:rsidRDefault="00936B6E" w:rsidP="00C67F77">
    <w:pPr>
      <w:rPr>
        <w:rFonts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2CE9" w:rsidRDefault="000B1B77">
    <w:pPr>
      <w:pStyle w:val="Encabezado"/>
    </w:pPr>
    <w:r w:rsidRPr="000F5B56">
      <w:rPr>
        <w:noProof/>
        <w:lang w:eastAsia="es-CO" w:bidi="ar-SA"/>
      </w:rPr>
      <w:drawing>
        <wp:anchor distT="0" distB="0" distL="114300" distR="114300" simplePos="0" relativeHeight="251665408" behindDoc="0" locked="0" layoutInCell="1" allowOverlap="1" wp14:anchorId="2701A7E3" wp14:editId="05927095">
          <wp:simplePos x="0" y="0"/>
          <wp:positionH relativeFrom="margin">
            <wp:align>left</wp:align>
          </wp:positionH>
          <wp:positionV relativeFrom="paragraph">
            <wp:posOffset>-1905</wp:posOffset>
          </wp:positionV>
          <wp:extent cx="5613400" cy="908685"/>
          <wp:effectExtent l="0" t="0" r="6350" b="5715"/>
          <wp:wrapNone/>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1B77"/>
    <w:rsid w:val="000B1B77"/>
    <w:rsid w:val="0010340E"/>
    <w:rsid w:val="00172E79"/>
    <w:rsid w:val="001E3A48"/>
    <w:rsid w:val="00215B69"/>
    <w:rsid w:val="002E5AF8"/>
    <w:rsid w:val="00354DAD"/>
    <w:rsid w:val="0036694A"/>
    <w:rsid w:val="00481CEA"/>
    <w:rsid w:val="004D3B3E"/>
    <w:rsid w:val="005246F6"/>
    <w:rsid w:val="005A1136"/>
    <w:rsid w:val="0061771F"/>
    <w:rsid w:val="006D415B"/>
    <w:rsid w:val="00783899"/>
    <w:rsid w:val="00825FA4"/>
    <w:rsid w:val="008712D5"/>
    <w:rsid w:val="008815B9"/>
    <w:rsid w:val="00887F8F"/>
    <w:rsid w:val="008D05C7"/>
    <w:rsid w:val="00916160"/>
    <w:rsid w:val="00936B6E"/>
    <w:rsid w:val="009C3590"/>
    <w:rsid w:val="00AB5467"/>
    <w:rsid w:val="00B26732"/>
    <w:rsid w:val="00B30D02"/>
    <w:rsid w:val="00B356EC"/>
    <w:rsid w:val="00B65524"/>
    <w:rsid w:val="00C00370"/>
    <w:rsid w:val="00C54FE8"/>
    <w:rsid w:val="00D276B3"/>
    <w:rsid w:val="00DB0ED5"/>
    <w:rsid w:val="00E50A05"/>
    <w:rsid w:val="00E63219"/>
    <w:rsid w:val="00F023F7"/>
    <w:rsid w:val="00F43E63"/>
    <w:rsid w:val="00F5412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898B6"/>
  <w15:chartTrackingRefBased/>
  <w15:docId w15:val="{CBCACAC4-88F7-41BE-85AC-988C2BA2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1B77"/>
    <w:pPr>
      <w:spacing w:after="0" w:line="240" w:lineRule="auto"/>
    </w:pPr>
    <w:rPr>
      <w:rFonts w:ascii="Arial" w:eastAsia="Times New Roman" w:hAnsi="Arial" w:cs="Times New Roman"/>
      <w:sz w:val="24"/>
      <w:szCs w:val="24"/>
      <w:lang w:bidi="he-I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0B1B77"/>
    <w:pPr>
      <w:tabs>
        <w:tab w:val="center" w:pos="4252"/>
        <w:tab w:val="right" w:pos="8504"/>
      </w:tabs>
    </w:pPr>
  </w:style>
  <w:style w:type="character" w:customStyle="1" w:styleId="PiedepginaCar">
    <w:name w:val="Pie de página Car"/>
    <w:basedOn w:val="Fuentedeprrafopredeter"/>
    <w:link w:val="Piedepgina"/>
    <w:uiPriority w:val="99"/>
    <w:rsid w:val="000B1B77"/>
    <w:rPr>
      <w:rFonts w:ascii="Arial" w:eastAsia="Times New Roman" w:hAnsi="Arial" w:cs="Times New Roman"/>
      <w:sz w:val="24"/>
      <w:szCs w:val="24"/>
      <w:lang w:bidi="he-IL"/>
    </w:rPr>
  </w:style>
  <w:style w:type="character" w:styleId="Nmerodepgina">
    <w:name w:val="page number"/>
    <w:uiPriority w:val="99"/>
    <w:rsid w:val="000B1B77"/>
    <w:rPr>
      <w:rFonts w:cs="Times New Roman"/>
    </w:rPr>
  </w:style>
  <w:style w:type="paragraph" w:styleId="Encabezado">
    <w:name w:val="header"/>
    <w:basedOn w:val="Normal"/>
    <w:link w:val="EncabezadoCar"/>
    <w:uiPriority w:val="99"/>
    <w:rsid w:val="000B1B77"/>
    <w:pPr>
      <w:tabs>
        <w:tab w:val="center" w:pos="4252"/>
        <w:tab w:val="right" w:pos="8504"/>
      </w:tabs>
    </w:pPr>
  </w:style>
  <w:style w:type="character" w:customStyle="1" w:styleId="EncabezadoCar">
    <w:name w:val="Encabezado Car"/>
    <w:basedOn w:val="Fuentedeprrafopredeter"/>
    <w:link w:val="Encabezado"/>
    <w:uiPriority w:val="99"/>
    <w:rsid w:val="000B1B77"/>
    <w:rPr>
      <w:rFonts w:ascii="Arial" w:eastAsia="Times New Roman" w:hAnsi="Arial" w:cs="Times New Roman"/>
      <w:sz w:val="24"/>
      <w:szCs w:val="24"/>
      <w:lang w:bidi="he-IL"/>
    </w:rPr>
  </w:style>
  <w:style w:type="paragraph" w:styleId="Textodeglobo">
    <w:name w:val="Balloon Text"/>
    <w:basedOn w:val="Normal"/>
    <w:link w:val="TextodegloboCar"/>
    <w:uiPriority w:val="99"/>
    <w:semiHidden/>
    <w:unhideWhenUsed/>
    <w:rsid w:val="006D415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D415B"/>
    <w:rPr>
      <w:rFonts w:ascii="Segoe UI" w:eastAsia="Times New Roman" w:hAnsi="Segoe UI" w:cs="Segoe UI"/>
      <w:sz w:val="18"/>
      <w:szCs w:val="18"/>
      <w:lang w:bidi="he-IL"/>
    </w:rPr>
  </w:style>
  <w:style w:type="paragraph" w:customStyle="1" w:styleId="Default">
    <w:name w:val="Default"/>
    <w:rsid w:val="00172E79"/>
    <w:pPr>
      <w:autoSpaceDE w:val="0"/>
      <w:autoSpaceDN w:val="0"/>
      <w:adjustRightInd w:val="0"/>
      <w:spacing w:after="0" w:line="240" w:lineRule="auto"/>
    </w:pPr>
    <w:rPr>
      <w:rFonts w:ascii="Arial" w:eastAsia="Calibri"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5</Pages>
  <Words>2230</Words>
  <Characters>12266</Characters>
  <Application>Microsoft Office Word</Application>
  <DocSecurity>0</DocSecurity>
  <Lines>102</Lines>
  <Paragraphs>28</Paragraphs>
  <ScaleCrop>false</ScaleCrop>
  <Company/>
  <LinksUpToDate>false</LinksUpToDate>
  <CharactersWithSpaces>14468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Giovanny Edgardo, Fajardo Jimenez</dc:creator>
  <cp:keywords/>
  <dc:description/>
  <cp:lastModifiedBy>Giovanny Edgardo, Fajardo Jimenez</cp:lastModifiedBy>
  <cp:revision>35</cp:revision>
  <cp:lastPrinted>2025-11-07T20:17:00Z</cp:lastPrinted>
  <dcterms:created xsi:type="dcterms:W3CDTF">2025-11-07T17:01:00Z</dcterms:created>
  <dcterms:modified xsi:type="dcterms:W3CDTF">2025-11-11T17:07:00Z</dcterms:modified>
</cp:coreProperties>
</file>